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lang w:val="en-US" w:eastAsia="zh-CN"/>
        </w:rPr>
        <w:t>4</w:t>
      </w:r>
      <w:bookmarkStart w:id="36" w:name="_GoBack"/>
      <w:bookmarkEnd w:id="36"/>
      <w:r>
        <w:rPr>
          <w:rFonts w:eastAsia="Batang"/>
          <w:b/>
          <w:sz w:val="24"/>
          <w:szCs w:val="24"/>
          <w:lang w:eastAsia="ja-JP"/>
        </w:rPr>
        <w:t>-e</w:t>
      </w:r>
      <w:r>
        <w:rPr>
          <w:rFonts w:eastAsia="Batang"/>
          <w:b/>
          <w:sz w:val="24"/>
          <w:szCs w:val="24"/>
          <w:lang w:eastAsia="ja-JP"/>
        </w:rPr>
        <w:tab/>
      </w:r>
      <w:r>
        <w:rPr>
          <w:b/>
          <w:sz w:val="24"/>
          <w:szCs w:val="24"/>
        </w:rPr>
        <w:t xml:space="preserve">                        </w:t>
      </w:r>
      <w:r>
        <w:rPr>
          <w:rFonts w:eastAsia="Batang"/>
          <w:b/>
          <w:sz w:val="24"/>
          <w:szCs w:val="24"/>
          <w:lang w:eastAsia="ja-JP"/>
        </w:rPr>
        <w:tab/>
      </w:r>
      <w:r>
        <w:rPr>
          <w:b/>
          <w:sz w:val="24"/>
          <w:szCs w:val="24"/>
        </w:rPr>
        <w:t xml:space="preserve">      </w:t>
      </w:r>
      <w:r>
        <w:rPr>
          <w:rFonts w:eastAsia="Batang"/>
          <w:b/>
          <w:sz w:val="24"/>
          <w:szCs w:val="24"/>
          <w:lang w:eastAsia="ja-JP"/>
        </w:rPr>
        <w:t>R1-2</w:t>
      </w:r>
      <w:r>
        <w:rPr>
          <w:b/>
          <w:sz w:val="24"/>
          <w:szCs w:val="24"/>
        </w:rPr>
        <w:t>1</w:t>
      </w:r>
      <w:r>
        <w:rPr>
          <w:rFonts w:hint="eastAsia"/>
          <w:b/>
          <w:sz w:val="24"/>
          <w:szCs w:val="24"/>
        </w:rPr>
        <w:t>00525</w:t>
      </w:r>
    </w:p>
    <w:p>
      <w:pPr>
        <w:tabs>
          <w:tab w:val="center" w:pos="4536"/>
          <w:tab w:val="right" w:pos="9072"/>
        </w:tabs>
        <w:spacing w:before="120" w:after="120"/>
        <w:rPr>
          <w:rFonts w:eastAsia="Batang"/>
          <w:b/>
          <w:sz w:val="24"/>
          <w:szCs w:val="24"/>
          <w:lang w:eastAsia="ja-JP"/>
        </w:rPr>
      </w:pPr>
      <w:r>
        <w:rPr>
          <w:rFonts w:eastAsia="Batang"/>
          <w:b/>
          <w:sz w:val="24"/>
          <w:szCs w:val="24"/>
          <w:lang w:eastAsia="ja-JP"/>
        </w:rPr>
        <w:t>e-Meeting, January 25</w:t>
      </w:r>
      <w:r>
        <w:rPr>
          <w:rFonts w:eastAsia="Batang"/>
          <w:b/>
          <w:sz w:val="24"/>
          <w:szCs w:val="24"/>
          <w:vertAlign w:val="superscript"/>
          <w:lang w:eastAsia="ja-JP"/>
        </w:rPr>
        <w:t>th</w:t>
      </w:r>
      <w:r>
        <w:rPr>
          <w:rFonts w:eastAsia="Batang"/>
          <w:b/>
          <w:sz w:val="24"/>
          <w:szCs w:val="24"/>
          <w:lang w:eastAsia="ja-JP"/>
        </w:rPr>
        <w:t xml:space="preserve"> – February 05</w:t>
      </w:r>
      <w:r>
        <w:rPr>
          <w:rFonts w:eastAsia="Batang"/>
          <w:b/>
          <w:sz w:val="24"/>
          <w:szCs w:val="24"/>
          <w:vertAlign w:val="superscript"/>
          <w:lang w:eastAsia="ja-JP"/>
        </w:rPr>
        <w:t>th</w:t>
      </w:r>
      <w:r>
        <w:rPr>
          <w:rFonts w:eastAsia="Batang"/>
          <w:b/>
          <w:sz w:val="24"/>
          <w:szCs w:val="24"/>
          <w:lang w:eastAsia="ja-JP"/>
        </w:rPr>
        <w:t>, 2021</w:t>
      </w:r>
    </w:p>
    <w:p>
      <w:pPr>
        <w:pStyle w:val="34"/>
        <w:spacing w:before="120" w:after="120"/>
        <w:rPr>
          <w:sz w:val="24"/>
          <w:szCs w:val="24"/>
        </w:rPr>
      </w:pPr>
    </w:p>
    <w:p>
      <w:pPr>
        <w:pStyle w:val="34"/>
        <w:spacing w:before="120" w:after="120"/>
        <w:rPr>
          <w:rFonts w:eastAsia="SimSun"/>
          <w:sz w:val="24"/>
          <w:szCs w:val="24"/>
          <w:lang w:eastAsia="zh-CN"/>
        </w:rPr>
      </w:pPr>
      <w:r>
        <w:rPr>
          <w:sz w:val="24"/>
          <w:szCs w:val="24"/>
        </w:rPr>
        <w:t xml:space="preserve">Source: </w:t>
      </w:r>
      <w:r>
        <w:rPr>
          <w:sz w:val="24"/>
          <w:szCs w:val="24"/>
        </w:rPr>
        <w:tab/>
      </w:r>
      <w:r>
        <w:rPr>
          <w:rFonts w:eastAsia="SimSun"/>
          <w:sz w:val="24"/>
          <w:szCs w:val="24"/>
          <w:lang w:eastAsia="zh-CN"/>
        </w:rPr>
        <w:t>ZTE, Sanechips</w:t>
      </w:r>
    </w:p>
    <w:p>
      <w:pPr>
        <w:pStyle w:val="34"/>
        <w:spacing w:before="120" w:after="120"/>
        <w:ind w:left="1649" w:hanging="1682" w:hangingChars="700"/>
        <w:rPr>
          <w:rFonts w:eastAsia="SimSun"/>
          <w:sz w:val="24"/>
          <w:szCs w:val="24"/>
          <w:lang w:eastAsia="zh-CN"/>
        </w:rPr>
      </w:pPr>
      <w:r>
        <w:rPr>
          <w:sz w:val="24"/>
          <w:szCs w:val="24"/>
        </w:rPr>
        <w:t>Title:</w:t>
      </w:r>
      <w:r>
        <w:rPr>
          <w:sz w:val="24"/>
          <w:szCs w:val="24"/>
        </w:rPr>
        <w:tab/>
      </w:r>
      <w:bookmarkStart w:id="0" w:name="OLE_LINK4"/>
      <w:r>
        <w:rPr>
          <w:sz w:val="24"/>
          <w:szCs w:val="24"/>
        </w:rPr>
        <w:t>Additional simulation results of UE power consumption in RRC idle and inactive state</w:t>
      </w:r>
    </w:p>
    <w:bookmarkEnd w:id="0"/>
    <w:p>
      <w:pPr>
        <w:pStyle w:val="34"/>
        <w:spacing w:before="120" w:after="120"/>
        <w:rPr>
          <w:rFonts w:eastAsia="SimSun"/>
          <w:sz w:val="24"/>
          <w:szCs w:val="24"/>
          <w:lang w:eastAsia="zh-CN"/>
        </w:rPr>
      </w:pPr>
      <w:r>
        <w:rPr>
          <w:sz w:val="24"/>
          <w:szCs w:val="24"/>
        </w:rPr>
        <w:t>Agenda Item:</w:t>
      </w:r>
      <w:r>
        <w:rPr>
          <w:sz w:val="24"/>
          <w:szCs w:val="24"/>
        </w:rPr>
        <w:tab/>
      </w:r>
      <w:r>
        <w:rPr>
          <w:rFonts w:eastAsia="SimSun"/>
          <w:sz w:val="24"/>
          <w:szCs w:val="24"/>
          <w:lang w:eastAsia="zh-CN"/>
        </w:rPr>
        <w:t xml:space="preserve">8.7.1.3 </w:t>
      </w:r>
    </w:p>
    <w:p>
      <w:pPr>
        <w:pStyle w:val="34"/>
        <w:spacing w:before="120" w:after="120"/>
        <w:rPr>
          <w:sz w:val="24"/>
          <w:szCs w:val="24"/>
        </w:rPr>
      </w:pPr>
      <w:r>
        <w:rPr>
          <w:sz w:val="24"/>
          <w:szCs w:val="24"/>
        </w:rPr>
        <w:t>Document for:</w:t>
      </w:r>
      <w:r>
        <w:rPr>
          <w:sz w:val="24"/>
          <w:szCs w:val="24"/>
        </w:rPr>
        <w:tab/>
      </w:r>
      <w:r>
        <w:rPr>
          <w:sz w:val="24"/>
          <w:szCs w:val="24"/>
        </w:rPr>
        <w:t>Discussion and Decision</w:t>
      </w:r>
    </w:p>
    <w:p>
      <w:pPr>
        <w:pStyle w:val="2"/>
        <w:spacing w:before="120" w:after="120"/>
        <w:ind w:left="0"/>
        <w:rPr>
          <w:rFonts w:ascii="Times New Roman" w:hAnsi="Times New Roman" w:eastAsia="SimSun"/>
          <w:b/>
          <w:bCs/>
          <w:sz w:val="24"/>
          <w:szCs w:val="24"/>
        </w:rPr>
      </w:pPr>
      <w:r>
        <w:rPr>
          <w:rFonts w:ascii="Times New Roman" w:hAnsi="Times New Roman" w:eastAsia="SimSun"/>
          <w:b/>
          <w:bCs/>
          <w:sz w:val="24"/>
          <w:szCs w:val="24"/>
        </w:rPr>
        <w:t>Introduction</w:t>
      </w:r>
    </w:p>
    <w:p>
      <w:pPr>
        <w:spacing w:before="120" w:after="120"/>
      </w:pPr>
      <w:r>
        <w:rPr>
          <w:rFonts w:hint="eastAsia"/>
        </w:rPr>
        <w:t xml:space="preserve">In our contribution [1], the link level simulation results with 2x4 MIMO and the comparison between DCI-based PEI and sequence-based PEI are provided. In some cases, if the UE capability or configuration is limited, the UE </w:t>
      </w:r>
      <w:r>
        <w:t xml:space="preserve">may not </w:t>
      </w:r>
      <w:r>
        <w:rPr>
          <w:rFonts w:hint="eastAsia"/>
        </w:rPr>
        <w:t xml:space="preserve">be </w:t>
      </w:r>
      <w:r>
        <w:t>equipped</w:t>
      </w:r>
      <w:r>
        <w:rPr>
          <w:rFonts w:hint="eastAsia"/>
        </w:rPr>
        <w:t xml:space="preserve"> with four receiving antennas. In this case, the UE processing timeline is changed accordingly. In this contribution, we provide simulation and analysis results for different antennas and UE processing timeline.</w:t>
      </w:r>
    </w:p>
    <w:p>
      <w:pPr>
        <w:pStyle w:val="2"/>
        <w:spacing w:before="120" w:after="120"/>
        <w:ind w:left="0"/>
        <w:rPr>
          <w:rFonts w:ascii="Times New Roman" w:hAnsi="Times New Roman"/>
          <w:b/>
          <w:sz w:val="24"/>
          <w:szCs w:val="24"/>
        </w:rPr>
      </w:pPr>
      <w:r>
        <w:rPr>
          <w:rFonts w:hint="eastAsia" w:ascii="Times New Roman" w:hAnsi="Times New Roman"/>
          <w:b/>
          <w:bCs/>
          <w:sz w:val="24"/>
          <w:szCs w:val="24"/>
        </w:rPr>
        <w:t>Discussion on performance and power saving gain of PEI</w:t>
      </w:r>
    </w:p>
    <w:p>
      <w:pPr>
        <w:keepNext/>
        <w:keepLines/>
        <w:numPr>
          <w:ilvl w:val="0"/>
          <w:numId w:val="8"/>
        </w:numPr>
        <w:spacing w:before="120" w:after="120"/>
        <w:rPr>
          <w:b/>
          <w:sz w:val="20"/>
        </w:rPr>
      </w:pPr>
      <w:r>
        <w:rPr>
          <w:b/>
          <w:bCs/>
          <w:sz w:val="20"/>
        </w:rPr>
        <w:t xml:space="preserve">Performance </w:t>
      </w:r>
      <w:r>
        <w:rPr>
          <w:b/>
          <w:sz w:val="20"/>
        </w:rPr>
        <w:t xml:space="preserve">of paging and PEI </w:t>
      </w:r>
    </w:p>
    <w:p>
      <w:pPr>
        <w:spacing w:before="120" w:after="120" w:line="260" w:lineRule="auto"/>
      </w:pPr>
      <w:r>
        <w:t xml:space="preserve">In this </w:t>
      </w:r>
      <w:r>
        <w:rPr>
          <w:rFonts w:hint="eastAsia"/>
        </w:rPr>
        <w:t>section</w:t>
      </w:r>
      <w:r>
        <w:t xml:space="preserve">, more simulation results are provided to analyze the performance </w:t>
      </w:r>
      <w:r>
        <w:rPr>
          <w:rFonts w:hint="eastAsia"/>
        </w:rPr>
        <w:t>of paging PDCCH</w:t>
      </w:r>
      <w:r>
        <w:t xml:space="preserve">, </w:t>
      </w:r>
      <w:r>
        <w:rPr>
          <w:rFonts w:hint="eastAsia"/>
        </w:rPr>
        <w:t xml:space="preserve">paging </w:t>
      </w:r>
      <w:r>
        <w:t xml:space="preserve">PDSCH </w:t>
      </w:r>
      <w:r>
        <w:rPr>
          <w:rFonts w:hint="eastAsia"/>
        </w:rPr>
        <w:t>and</w:t>
      </w:r>
      <w:r>
        <w:t xml:space="preserve"> DCI-based PEI.</w:t>
      </w:r>
    </w:p>
    <w:p>
      <w:pPr>
        <w:spacing w:before="120" w:after="120" w:line="260" w:lineRule="auto"/>
      </w:pPr>
      <w:r>
        <w:t>With the link level simulation assumptions in Table A1, the evaluation results of paging PDCCH and PDSCH reception are shown in Figure 1.</w:t>
      </w:r>
    </w:p>
    <w:p>
      <w:pPr>
        <w:spacing w:before="120" w:after="120" w:line="260" w:lineRule="auto"/>
        <w:jc w:val="center"/>
      </w:pPr>
      <w:r>
        <w:drawing>
          <wp:inline distT="0" distB="0" distL="114300" distR="114300">
            <wp:extent cx="2955925" cy="2218055"/>
            <wp:effectExtent l="0" t="0" r="0" b="1079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5"/>
                    <a:stretch>
                      <a:fillRect/>
                    </a:stretch>
                  </pic:blipFill>
                  <pic:spPr>
                    <a:xfrm>
                      <a:off x="0" y="0"/>
                      <a:ext cx="2955925" cy="2218055"/>
                    </a:xfrm>
                    <a:prstGeom prst="rect">
                      <a:avLst/>
                    </a:prstGeom>
                    <a:noFill/>
                    <a:ln>
                      <a:noFill/>
                    </a:ln>
                  </pic:spPr>
                </pic:pic>
              </a:graphicData>
            </a:graphic>
          </wp:inline>
        </w:drawing>
      </w:r>
      <w:r>
        <w:drawing>
          <wp:inline distT="0" distB="0" distL="114300" distR="114300">
            <wp:extent cx="3047365" cy="2227580"/>
            <wp:effectExtent l="0" t="0" r="63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6"/>
                    <a:stretch>
                      <a:fillRect/>
                    </a:stretch>
                  </pic:blipFill>
                  <pic:spPr>
                    <a:xfrm>
                      <a:off x="0" y="0"/>
                      <a:ext cx="3047365" cy="2227580"/>
                    </a:xfrm>
                    <a:prstGeom prst="rect">
                      <a:avLst/>
                    </a:prstGeom>
                    <a:noFill/>
                    <a:ln>
                      <a:noFill/>
                    </a:ln>
                  </pic:spPr>
                </pic:pic>
              </a:graphicData>
            </a:graphic>
          </wp:inline>
        </w:drawing>
      </w:r>
    </w:p>
    <w:p>
      <w:pPr>
        <w:spacing w:before="120" w:after="120" w:line="260" w:lineRule="auto"/>
        <w:jc w:val="center"/>
      </w:pPr>
      <w:r>
        <w:t>(a) Paging PDCCH                               (b) Paging PDSCH</w:t>
      </w:r>
    </w:p>
    <w:p>
      <w:pPr>
        <w:spacing w:before="120" w:after="120" w:line="260" w:lineRule="auto"/>
        <w:jc w:val="center"/>
      </w:pPr>
      <w:r>
        <w:t>Figure 1 Link level evaluation results of paging PDCCH and paging PDSCH</w:t>
      </w:r>
    </w:p>
    <w:p>
      <w:pPr>
        <w:spacing w:before="120" w:after="120" w:line="260" w:lineRule="auto"/>
      </w:pPr>
    </w:p>
    <w:p>
      <w:pPr>
        <w:spacing w:before="120" w:after="120" w:line="260" w:lineRule="auto"/>
      </w:pPr>
      <w:r>
        <w:t xml:space="preserve">From the Figure 1, it can be observed that both the paging PDCCH and the paging PDSCH is not sensitive to frequency error with 2x2 MIMO. When the CFO is no larger than 0.5 PPM, the detection performance loss of both the PDCCH and PDSCH is small (less than 0.2 dB).  </w:t>
      </w:r>
    </w:p>
    <w:p>
      <w:pPr>
        <w:pStyle w:val="24"/>
        <w:spacing w:before="120" w:after="120"/>
        <w:rPr>
          <w:i w:val="0"/>
        </w:rPr>
      </w:pPr>
      <w:bookmarkStart w:id="1" w:name="_Toc27214"/>
      <w:bookmarkStart w:id="2" w:name="_Toc4762"/>
      <w:bookmarkStart w:id="3" w:name="_Toc19904"/>
      <w:bookmarkStart w:id="4" w:name="_Toc10680"/>
      <w:r>
        <w:rPr>
          <w:i w:val="0"/>
        </w:rPr>
        <w:t xml:space="preserve">When the CFO is </w:t>
      </w:r>
      <w:r>
        <w:rPr>
          <w:i w:val="0"/>
          <w:iCs w:val="0"/>
          <w:lang w:val="en-US"/>
        </w:rPr>
        <w:t xml:space="preserve">no larger </w:t>
      </w:r>
      <w:r>
        <w:rPr>
          <w:i w:val="0"/>
        </w:rPr>
        <w:t>than 0.5 PPM, the detection performance loss of paging PDCCH and PDSCH is less than 0.2 dB.</w:t>
      </w:r>
      <w:bookmarkEnd w:id="1"/>
      <w:bookmarkEnd w:id="2"/>
      <w:bookmarkEnd w:id="3"/>
      <w:bookmarkEnd w:id="4"/>
    </w:p>
    <w:p>
      <w:pPr>
        <w:spacing w:before="120" w:after="120" w:line="260" w:lineRule="auto"/>
      </w:pPr>
      <w:r>
        <w:t>Figure 2 pr</w:t>
      </w:r>
      <w:r>
        <w:rPr>
          <w:rFonts w:hint="eastAsia"/>
        </w:rPr>
        <w:t xml:space="preserve">ovides the performance of the DCI-based PEI with 2x2 MIMO. From </w:t>
      </w:r>
      <w:r>
        <w:t xml:space="preserve">Figure 2, </w:t>
      </w:r>
      <w:r>
        <w:rPr>
          <w:rFonts w:hint="eastAsia"/>
        </w:rPr>
        <w:t xml:space="preserve">we can see that there is </w:t>
      </w:r>
      <w:r>
        <w:t>minor</w:t>
      </w:r>
      <w:r>
        <w:rPr>
          <w:rFonts w:hint="eastAsia"/>
        </w:rPr>
        <w:t xml:space="preserve"> performance </w:t>
      </w:r>
      <w:r>
        <w:t>loss</w:t>
      </w:r>
      <w:r>
        <w:rPr>
          <w:rFonts w:hint="eastAsia"/>
        </w:rPr>
        <w:t xml:space="preserve"> when frequency error </w:t>
      </w:r>
      <w:r>
        <w:t>is no larger</w:t>
      </w:r>
      <w:r>
        <w:rPr>
          <w:rFonts w:hint="eastAsia"/>
        </w:rPr>
        <w:t xml:space="preserve"> than 0.5 PPM. What</w:t>
      </w:r>
      <w:r>
        <w:t>’</w:t>
      </w:r>
      <w:r>
        <w:rPr>
          <w:rFonts w:hint="eastAsia"/>
        </w:rPr>
        <w:t xml:space="preserve">s more, the required SNR of DCI-based PEI with AL=4 is </w:t>
      </w:r>
      <w:r>
        <w:t>low</w:t>
      </w:r>
      <w:r>
        <w:rPr>
          <w:rFonts w:hint="eastAsia"/>
        </w:rPr>
        <w:t xml:space="preserve">er than that of </w:t>
      </w:r>
      <w:r>
        <w:t xml:space="preserve">paging </w:t>
      </w:r>
      <w:r>
        <w:rPr>
          <w:rFonts w:hint="eastAsia"/>
        </w:rPr>
        <w:t>PDSCH when BLER=1%.</w:t>
      </w:r>
      <w:r>
        <w:t xml:space="preserve"> It means that the performance of DCI-based PEI meets the requirement when the aggregation level is 4.</w:t>
      </w:r>
    </w:p>
    <w:p>
      <w:pPr>
        <w:spacing w:before="120" w:after="120" w:line="260" w:lineRule="auto"/>
        <w:jc w:val="center"/>
      </w:pPr>
      <w:r>
        <w:drawing>
          <wp:inline distT="0" distB="0" distL="114300" distR="114300">
            <wp:extent cx="2915285" cy="2231390"/>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7"/>
                    <a:stretch>
                      <a:fillRect/>
                    </a:stretch>
                  </pic:blipFill>
                  <pic:spPr>
                    <a:xfrm>
                      <a:off x="0" y="0"/>
                      <a:ext cx="2915550" cy="2232000"/>
                    </a:xfrm>
                    <a:prstGeom prst="rect">
                      <a:avLst/>
                    </a:prstGeom>
                    <a:noFill/>
                    <a:ln>
                      <a:noFill/>
                    </a:ln>
                  </pic:spPr>
                </pic:pic>
              </a:graphicData>
            </a:graphic>
          </wp:inline>
        </w:drawing>
      </w:r>
    </w:p>
    <w:p>
      <w:pPr>
        <w:spacing w:before="120" w:after="120" w:line="260" w:lineRule="auto"/>
        <w:jc w:val="center"/>
      </w:pPr>
      <w:r>
        <w:t xml:space="preserve">Figure 2 </w:t>
      </w:r>
      <w:r>
        <w:rPr>
          <w:rFonts w:hint="eastAsia"/>
        </w:rPr>
        <w:t xml:space="preserve">MDR/BLER </w:t>
      </w:r>
      <w:r>
        <w:t xml:space="preserve">performance </w:t>
      </w:r>
      <w:r>
        <w:rPr>
          <w:rFonts w:hint="eastAsia"/>
        </w:rPr>
        <w:t>of DCI-based PEI</w:t>
      </w:r>
    </w:p>
    <w:p>
      <w:pPr>
        <w:spacing w:before="120" w:after="120" w:line="260" w:lineRule="auto"/>
        <w:jc w:val="center"/>
      </w:pPr>
    </w:p>
    <w:p>
      <w:pPr>
        <w:pStyle w:val="24"/>
        <w:spacing w:before="120" w:after="120"/>
        <w:rPr>
          <w:lang w:val="en-US"/>
        </w:rPr>
      </w:pPr>
      <w:bookmarkStart w:id="5" w:name="_Toc28486"/>
      <w:bookmarkStart w:id="6" w:name="_Toc4128"/>
      <w:bookmarkStart w:id="7" w:name="_Toc21025"/>
      <w:bookmarkStart w:id="8" w:name="_Toc2384"/>
      <w:r>
        <w:rPr>
          <w:rFonts w:hint="eastAsia"/>
          <w:i w:val="0"/>
          <w:iCs w:val="0"/>
          <w:lang w:val="en-US"/>
        </w:rPr>
        <w:t>The performance of DCI-based PEI meets the requirement when the aggregation level is 4.</w:t>
      </w:r>
      <w:bookmarkEnd w:id="5"/>
      <w:bookmarkEnd w:id="6"/>
      <w:bookmarkEnd w:id="7"/>
      <w:bookmarkEnd w:id="8"/>
    </w:p>
    <w:p>
      <w:pPr>
        <w:keepNext/>
        <w:keepLines/>
        <w:numPr>
          <w:ilvl w:val="0"/>
          <w:numId w:val="8"/>
        </w:numPr>
        <w:spacing w:before="120" w:after="120"/>
        <w:rPr>
          <w:b/>
          <w:sz w:val="20"/>
        </w:rPr>
      </w:pPr>
      <w:r>
        <w:rPr>
          <w:b/>
          <w:bCs/>
          <w:sz w:val="20"/>
        </w:rPr>
        <w:t>P</w:t>
      </w:r>
      <w:r>
        <w:rPr>
          <w:rFonts w:hint="eastAsia"/>
          <w:b/>
          <w:bCs/>
          <w:sz w:val="20"/>
        </w:rPr>
        <w:t>ower saving gain</w:t>
      </w:r>
      <w:r>
        <w:rPr>
          <w:b/>
          <w:sz w:val="20"/>
        </w:rPr>
        <w:t xml:space="preserve"> </w:t>
      </w:r>
    </w:p>
    <w:p>
      <w:pPr>
        <w:spacing w:before="120" w:after="120" w:line="260" w:lineRule="auto"/>
      </w:pPr>
      <w:r>
        <w:t xml:space="preserve">In our contribution [1], the power saving gain with the timeline of one SSB before PO and two SSB before PO are provided. In some special cases, such as Redcap UE, or when the channel condition is very poor, two SSBs before the PO may not meet the synchronization and measurement requirements. Therefore, in this section, we analyze the power saving gain of PEI in the case that three SSBs are processed before PO. The UE processing timeline with three SSBs before PO is provided in Figure 3. </w:t>
      </w:r>
    </w:p>
    <w:p>
      <w:pPr>
        <w:spacing w:before="120" w:after="120" w:line="260" w:lineRule="auto"/>
        <w:jc w:val="center"/>
      </w:pPr>
      <w:r>
        <w:drawing>
          <wp:inline distT="0" distB="0" distL="114300" distR="114300">
            <wp:extent cx="4384675" cy="1445895"/>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8"/>
                    <a:stretch>
                      <a:fillRect/>
                    </a:stretch>
                  </pic:blipFill>
                  <pic:spPr>
                    <a:xfrm>
                      <a:off x="0" y="0"/>
                      <a:ext cx="4384675" cy="1445895"/>
                    </a:xfrm>
                    <a:prstGeom prst="rect">
                      <a:avLst/>
                    </a:prstGeom>
                    <a:noFill/>
                    <a:ln>
                      <a:noFill/>
                    </a:ln>
                  </pic:spPr>
                </pic:pic>
              </a:graphicData>
            </a:graphic>
          </wp:inline>
        </w:drawing>
      </w:r>
    </w:p>
    <w:p>
      <w:pPr>
        <w:spacing w:before="120" w:after="120" w:line="260" w:lineRule="auto"/>
        <w:jc w:val="center"/>
      </w:pPr>
      <w:r>
        <w:t>Figure 3 UE processing timeline (Three SSBs before PO)</w:t>
      </w:r>
    </w:p>
    <w:p>
      <w:pPr>
        <w:spacing w:before="120" w:after="120" w:line="260" w:lineRule="auto"/>
      </w:pPr>
    </w:p>
    <w:p>
      <w:pPr>
        <w:spacing w:before="120" w:after="120" w:line="260" w:lineRule="auto"/>
      </w:pPr>
      <w:r>
        <w:t xml:space="preserve">Assume that the offset between PO and SSB is 10 ms, the power saving gain provided by PEI in different locations are given in Figure 4. </w:t>
      </w:r>
    </w:p>
    <w:p>
      <w:pPr>
        <w:spacing w:before="120" w:after="120" w:line="260" w:lineRule="auto"/>
        <w:jc w:val="center"/>
      </w:pPr>
      <w:r>
        <w:drawing>
          <wp:inline distT="0" distB="0" distL="114300" distR="114300">
            <wp:extent cx="3207385" cy="1981200"/>
            <wp:effectExtent l="0" t="0" r="12065" b="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9"/>
                    <a:stretch>
                      <a:fillRect/>
                    </a:stretch>
                  </pic:blipFill>
                  <pic:spPr>
                    <a:xfrm>
                      <a:off x="0" y="0"/>
                      <a:ext cx="3207385" cy="1981200"/>
                    </a:xfrm>
                    <a:prstGeom prst="rect">
                      <a:avLst/>
                    </a:prstGeom>
                  </pic:spPr>
                </pic:pic>
              </a:graphicData>
            </a:graphic>
          </wp:inline>
        </w:drawing>
      </w:r>
    </w:p>
    <w:p>
      <w:pPr>
        <w:spacing w:before="120" w:after="120" w:line="260" w:lineRule="auto"/>
        <w:jc w:val="center"/>
      </w:pPr>
      <w:r>
        <w:t>Figure 4 Power saving gain provided by PEI (Three SSB before PO)</w:t>
      </w:r>
    </w:p>
    <w:p>
      <w:pPr>
        <w:spacing w:before="120" w:after="120" w:line="260" w:lineRule="auto"/>
      </w:pPr>
      <w:r>
        <w:t xml:space="preserve"> </w:t>
      </w:r>
    </w:p>
    <w:p>
      <w:pPr>
        <w:pStyle w:val="24"/>
        <w:spacing w:before="120" w:after="120"/>
        <w:rPr>
          <w:i w:val="0"/>
          <w:iCs w:val="0"/>
          <w:lang w:val="en-US"/>
        </w:rPr>
      </w:pPr>
      <w:bookmarkStart w:id="9" w:name="_Toc25289"/>
      <w:bookmarkStart w:id="10" w:name="_Toc10807"/>
      <w:bookmarkStart w:id="11" w:name="_Toc31239"/>
      <w:bookmarkStart w:id="12" w:name="_Toc8929"/>
      <w:r>
        <w:rPr>
          <w:i w:val="0"/>
          <w:iCs w:val="0"/>
          <w:lang w:val="en-US"/>
        </w:rPr>
        <w:t>The PEI located near the first SSB provides the maximum power saving gain.</w:t>
      </w:r>
      <w:bookmarkEnd w:id="9"/>
      <w:bookmarkEnd w:id="10"/>
      <w:bookmarkEnd w:id="11"/>
      <w:bookmarkEnd w:id="12"/>
    </w:p>
    <w:p>
      <w:pPr>
        <w:pStyle w:val="24"/>
        <w:spacing w:before="120" w:after="120"/>
        <w:rPr>
          <w:i w:val="0"/>
          <w:iCs w:val="0"/>
          <w:lang w:val="en-US"/>
        </w:rPr>
      </w:pPr>
      <w:bookmarkStart w:id="13" w:name="_Toc10600"/>
      <w:bookmarkStart w:id="14" w:name="_Toc2706"/>
      <w:bookmarkStart w:id="15" w:name="_Toc1700"/>
      <w:bookmarkStart w:id="16" w:name="_Toc19127"/>
      <w:r>
        <w:rPr>
          <w:i w:val="0"/>
          <w:iCs w:val="0"/>
          <w:lang w:val="en-US"/>
        </w:rPr>
        <w:t>The power saving gains obtained by the PEI located in location 1 and location 2 are basically the same.</w:t>
      </w:r>
      <w:bookmarkEnd w:id="13"/>
      <w:bookmarkEnd w:id="14"/>
      <w:bookmarkEnd w:id="15"/>
      <w:bookmarkEnd w:id="16"/>
      <w:r>
        <w:rPr>
          <w:i w:val="0"/>
          <w:iCs w:val="0"/>
          <w:lang w:val="en-US"/>
        </w:rPr>
        <w:t xml:space="preserve"> </w:t>
      </w:r>
    </w:p>
    <w:p>
      <w:pPr>
        <w:spacing w:before="120" w:after="120" w:line="260" w:lineRule="auto"/>
      </w:pPr>
      <w:r>
        <w:t>Take the PEI located in position 2 for example, the power saving gain of the combination of the PEI and sub-grouping is shown in Figure 5.</w:t>
      </w:r>
    </w:p>
    <w:p>
      <w:pPr>
        <w:spacing w:before="120" w:after="120" w:line="260" w:lineRule="auto"/>
        <w:jc w:val="center"/>
      </w:pPr>
      <w:r>
        <w:drawing>
          <wp:inline distT="0" distB="0" distL="114300" distR="114300">
            <wp:extent cx="2825750" cy="1849755"/>
            <wp:effectExtent l="0" t="0" r="12700" b="1714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10"/>
                    <a:stretch>
                      <a:fillRect/>
                    </a:stretch>
                  </pic:blipFill>
                  <pic:spPr>
                    <a:xfrm>
                      <a:off x="0" y="0"/>
                      <a:ext cx="2825750" cy="1849755"/>
                    </a:xfrm>
                    <a:prstGeom prst="rect">
                      <a:avLst/>
                    </a:prstGeom>
                  </pic:spPr>
                </pic:pic>
              </a:graphicData>
            </a:graphic>
          </wp:inline>
        </w:drawing>
      </w:r>
    </w:p>
    <w:p>
      <w:pPr>
        <w:spacing w:before="120" w:after="120" w:line="260" w:lineRule="auto"/>
        <w:jc w:val="center"/>
      </w:pPr>
      <w:r>
        <w:t>Figure 5 Power saving gain provided by PEI with sub-grouping (Three SSB before PO)</w:t>
      </w:r>
    </w:p>
    <w:p>
      <w:pPr>
        <w:spacing w:before="120" w:after="120" w:line="260" w:lineRule="auto"/>
        <w:jc w:val="center"/>
      </w:pPr>
    </w:p>
    <w:p>
      <w:pPr>
        <w:spacing w:before="120" w:after="120" w:line="260" w:lineRule="auto"/>
      </w:pPr>
      <w:r>
        <w:t xml:space="preserve">To sum up, the combination of PEI and sub-grouping can provides higher power saving gain. What’s more, the sub-grouping information should carried on PEI. </w:t>
      </w:r>
    </w:p>
    <w:p>
      <w:pPr>
        <w:pStyle w:val="24"/>
        <w:spacing w:before="120" w:after="120"/>
        <w:rPr>
          <w:i w:val="0"/>
          <w:iCs w:val="0"/>
          <w:lang w:val="en-US"/>
        </w:rPr>
      </w:pPr>
      <w:bookmarkStart w:id="17" w:name="_Toc24060"/>
      <w:bookmarkStart w:id="18" w:name="_Toc19454"/>
      <w:bookmarkStart w:id="19" w:name="_Toc22150"/>
      <w:bookmarkStart w:id="20" w:name="_Toc10398"/>
      <w:r>
        <w:rPr>
          <w:i w:val="0"/>
          <w:iCs w:val="0"/>
          <w:lang w:val="en-US" w:eastAsia="zh-CN"/>
        </w:rPr>
        <w:t>The c</w:t>
      </w:r>
      <w:r>
        <w:rPr>
          <w:i w:val="0"/>
          <w:iCs w:val="0"/>
          <w:lang w:val="en-US"/>
        </w:rPr>
        <w:t xml:space="preserve">ombination of PEI and sub-grouping </w:t>
      </w:r>
      <w:r>
        <w:rPr>
          <w:i w:val="0"/>
          <w:iCs w:val="0"/>
          <w:lang w:val="en-US" w:eastAsia="zh-CN"/>
        </w:rPr>
        <w:t>can provide more power saving gain</w:t>
      </w:r>
      <w:r>
        <w:rPr>
          <w:i w:val="0"/>
          <w:iCs w:val="0"/>
          <w:lang w:val="en-US"/>
        </w:rPr>
        <w:t>.</w:t>
      </w:r>
      <w:bookmarkEnd w:id="17"/>
      <w:bookmarkEnd w:id="18"/>
      <w:bookmarkEnd w:id="19"/>
      <w:bookmarkEnd w:id="20"/>
      <w:r>
        <w:rPr>
          <w:i w:val="0"/>
          <w:iCs w:val="0"/>
          <w:lang w:val="en-US"/>
        </w:rPr>
        <w:t xml:space="preserve"> </w:t>
      </w:r>
    </w:p>
    <w:p>
      <w:pPr>
        <w:spacing w:before="120" w:after="120" w:line="260" w:lineRule="auto"/>
      </w:pPr>
      <w:r>
        <w:t>Figure 6 provides the comparison of power saving gain between DCI-based PEI, sequence-based PEI without synchronization (sequence-w</w:t>
      </w:r>
      <w:r>
        <w:rPr>
          <w:rFonts w:hint="eastAsia"/>
        </w:rPr>
        <w:t>/o-sync) and sequence-based PEI with synchronization</w:t>
      </w:r>
      <w:r>
        <w:t xml:space="preserve"> </w:t>
      </w:r>
      <w:r>
        <w:rPr>
          <w:rFonts w:hint="eastAsia"/>
        </w:rPr>
        <w:t>(sequence-w-sync).</w:t>
      </w:r>
    </w:p>
    <w:p>
      <w:pPr>
        <w:spacing w:before="120" w:after="120" w:line="260" w:lineRule="auto"/>
      </w:pPr>
      <w:r>
        <w:drawing>
          <wp:inline distT="0" distB="0" distL="114300" distR="114300">
            <wp:extent cx="2064385" cy="1376045"/>
            <wp:effectExtent l="0" t="0" r="12065" b="14605"/>
            <wp:docPr id="9" name="图片 9" descr="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a"/>
                    <pic:cNvPicPr>
                      <a:picLocks noChangeAspect="1"/>
                    </pic:cNvPicPr>
                  </pic:nvPicPr>
                  <pic:blipFill>
                    <a:blip r:embed="rId11"/>
                    <a:stretch>
                      <a:fillRect/>
                    </a:stretch>
                  </pic:blipFill>
                  <pic:spPr>
                    <a:xfrm>
                      <a:off x="0" y="0"/>
                      <a:ext cx="2064385" cy="1376045"/>
                    </a:xfrm>
                    <a:prstGeom prst="rect">
                      <a:avLst/>
                    </a:prstGeom>
                  </pic:spPr>
                </pic:pic>
              </a:graphicData>
            </a:graphic>
          </wp:inline>
        </w:drawing>
      </w:r>
      <w:r>
        <w:drawing>
          <wp:inline distT="0" distB="0" distL="114300" distR="114300">
            <wp:extent cx="1986280" cy="1388745"/>
            <wp:effectExtent l="0" t="0" r="13970" b="1905"/>
            <wp:docPr id="10" name="图片 10" descr="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6b"/>
                    <pic:cNvPicPr>
                      <a:picLocks noChangeAspect="1"/>
                    </pic:cNvPicPr>
                  </pic:nvPicPr>
                  <pic:blipFill>
                    <a:blip r:embed="rId12"/>
                    <a:stretch>
                      <a:fillRect/>
                    </a:stretch>
                  </pic:blipFill>
                  <pic:spPr>
                    <a:xfrm>
                      <a:off x="0" y="0"/>
                      <a:ext cx="1986280" cy="1388745"/>
                    </a:xfrm>
                    <a:prstGeom prst="rect">
                      <a:avLst/>
                    </a:prstGeom>
                  </pic:spPr>
                </pic:pic>
              </a:graphicData>
            </a:graphic>
          </wp:inline>
        </w:drawing>
      </w:r>
      <w:r>
        <w:drawing>
          <wp:inline distT="0" distB="0" distL="114300" distR="114300">
            <wp:extent cx="2044065" cy="1383665"/>
            <wp:effectExtent l="0" t="0" r="13335" b="6985"/>
            <wp:docPr id="17" name="图片 17" descr="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c"/>
                    <pic:cNvPicPr>
                      <a:picLocks noChangeAspect="1"/>
                    </pic:cNvPicPr>
                  </pic:nvPicPr>
                  <pic:blipFill>
                    <a:blip r:embed="rId13"/>
                    <a:stretch>
                      <a:fillRect/>
                    </a:stretch>
                  </pic:blipFill>
                  <pic:spPr>
                    <a:xfrm>
                      <a:off x="0" y="0"/>
                      <a:ext cx="2044065" cy="1383665"/>
                    </a:xfrm>
                    <a:prstGeom prst="rect">
                      <a:avLst/>
                    </a:prstGeom>
                  </pic:spPr>
                </pic:pic>
              </a:graphicData>
            </a:graphic>
          </wp:inline>
        </w:drawing>
      </w:r>
    </w:p>
    <w:p>
      <w:pPr>
        <w:spacing w:before="120" w:after="120" w:line="260" w:lineRule="auto"/>
        <w:jc w:val="center"/>
        <w:rPr>
          <w:rFonts w:ascii="Arial" w:hAnsi="Arial"/>
        </w:rPr>
      </w:pPr>
      <w:r>
        <w:t>Figure 6 Power saving gain of PEI</w:t>
      </w:r>
    </w:p>
    <w:p>
      <w:pPr>
        <w:spacing w:before="120" w:after="120" w:line="260" w:lineRule="auto"/>
        <w:rPr>
          <w:b/>
          <w:bCs/>
        </w:rPr>
      </w:pPr>
    </w:p>
    <w:p>
      <w:pPr>
        <w:spacing w:before="120" w:after="120" w:line="260" w:lineRule="auto"/>
      </w:pPr>
      <w:r>
        <w:t>From Figure 6, it can be seen that the powe</w:t>
      </w:r>
      <w:r>
        <w:rPr>
          <w:rFonts w:hint="eastAsia"/>
        </w:rPr>
        <w:t>r saving gain from DCI-based PEI and sequence-based PEI is almost the same.</w:t>
      </w:r>
    </w:p>
    <w:p>
      <w:pPr>
        <w:pStyle w:val="24"/>
        <w:spacing w:before="120" w:after="120"/>
        <w:rPr>
          <w:lang w:val="en-US" w:eastAsia="zh-CN"/>
        </w:rPr>
      </w:pPr>
      <w:bookmarkStart w:id="21" w:name="_Toc24280"/>
      <w:bookmarkStart w:id="22" w:name="_Toc7129"/>
      <w:bookmarkStart w:id="23" w:name="_Toc25506"/>
      <w:bookmarkStart w:id="24" w:name="_Toc3382"/>
      <w:r>
        <w:rPr>
          <w:i w:val="0"/>
          <w:iCs w:val="0"/>
          <w:lang w:val="en-US" w:eastAsia="zh-CN"/>
        </w:rPr>
        <w:t>The power saving gain from DCI-based PEI and sequence-based PEI is almost the same.</w:t>
      </w:r>
      <w:bookmarkEnd w:id="21"/>
      <w:bookmarkEnd w:id="22"/>
      <w:bookmarkEnd w:id="23"/>
      <w:bookmarkEnd w:id="24"/>
      <w:r>
        <w:rPr>
          <w:i w:val="0"/>
          <w:iCs w:val="0"/>
          <w:lang w:val="en-US" w:eastAsia="zh-CN"/>
        </w:rPr>
        <w:t xml:space="preserve"> </w:t>
      </w:r>
    </w:p>
    <w:p>
      <w:pPr>
        <w:pStyle w:val="25"/>
        <w:spacing w:before="120" w:after="120"/>
        <w:rPr>
          <w:i w:val="0"/>
          <w:iCs w:val="0"/>
          <w:lang w:val="en-US"/>
        </w:rPr>
      </w:pPr>
      <w:bookmarkStart w:id="25" w:name="_Toc7741"/>
      <w:bookmarkStart w:id="26" w:name="_Toc10979"/>
      <w:r>
        <w:rPr>
          <w:rFonts w:hint="eastAsia"/>
          <w:i w:val="0"/>
          <w:iCs w:val="0"/>
          <w:lang w:val="en-US"/>
        </w:rPr>
        <w:t xml:space="preserve">The combination of </w:t>
      </w:r>
      <w:r>
        <w:rPr>
          <w:rFonts w:hint="eastAsia"/>
          <w:i w:val="0"/>
          <w:iCs w:val="0"/>
          <w:lang w:val="en-US" w:eastAsia="zh-CN"/>
        </w:rPr>
        <w:t xml:space="preserve">DCI-based </w:t>
      </w:r>
      <w:r>
        <w:rPr>
          <w:rFonts w:hint="eastAsia"/>
          <w:i w:val="0"/>
          <w:iCs w:val="0"/>
          <w:lang w:val="en-US"/>
        </w:rPr>
        <w:t xml:space="preserve">PEI and sub-grouping </w:t>
      </w:r>
      <w:r>
        <w:rPr>
          <w:i w:val="0"/>
          <w:iCs w:val="0"/>
          <w:lang w:val="en-US"/>
        </w:rPr>
        <w:t>should</w:t>
      </w:r>
      <w:r>
        <w:rPr>
          <w:rFonts w:hint="eastAsia"/>
          <w:i w:val="0"/>
          <w:iCs w:val="0"/>
          <w:lang w:val="en-US"/>
        </w:rPr>
        <w:t xml:space="preserve"> be considered.</w:t>
      </w:r>
      <w:bookmarkEnd w:id="25"/>
      <w:bookmarkEnd w:id="26"/>
    </w:p>
    <w:p>
      <w:pPr>
        <w:spacing w:before="120" w:after="120" w:line="260" w:lineRule="auto"/>
      </w:pPr>
    </w:p>
    <w:p>
      <w:pPr>
        <w:pStyle w:val="2"/>
        <w:spacing w:before="120" w:after="120"/>
        <w:ind w:left="0"/>
        <w:rPr>
          <w:rFonts w:ascii="Times New Roman" w:hAnsi="Times New Roman"/>
          <w:sz w:val="24"/>
          <w:szCs w:val="24"/>
        </w:rPr>
      </w:pPr>
      <w:r>
        <w:rPr>
          <w:rFonts w:ascii="Times New Roman" w:hAnsi="Times New Roman"/>
          <w:b/>
          <w:bCs/>
          <w:sz w:val="24"/>
          <w:szCs w:val="24"/>
        </w:rPr>
        <w:t>Residual frequency error after SSB processing</w:t>
      </w:r>
      <w:r>
        <w:rPr>
          <w:rFonts w:ascii="Times New Roman" w:hAnsi="Times New Roman"/>
          <w:sz w:val="24"/>
          <w:szCs w:val="24"/>
        </w:rPr>
        <w:t xml:space="preserve"> </w:t>
      </w:r>
    </w:p>
    <w:p>
      <w:pPr>
        <w:spacing w:before="120" w:after="120" w:line="260" w:lineRule="auto"/>
      </w:pPr>
      <w:r>
        <w:t xml:space="preserve">SSB </w:t>
      </w:r>
      <w:r>
        <w:rPr>
          <w:rFonts w:hint="eastAsia"/>
        </w:rPr>
        <w:t>i</w:t>
      </w:r>
      <w:r>
        <w:t xml:space="preserve">s used for frequency </w:t>
      </w:r>
      <w:r>
        <w:rPr>
          <w:rFonts w:hint="eastAsia"/>
        </w:rPr>
        <w:t>error</w:t>
      </w:r>
      <w:r>
        <w:t xml:space="preserve"> calibration before PO in RRC_IDLE mode. In order to receive paging DCI and paging PDSCH successfully, the UE needs to process one or more SSBs. The number of required SSBs depends on the initial frequency </w:t>
      </w:r>
      <w:r>
        <w:rPr>
          <w:rFonts w:hint="eastAsia"/>
        </w:rPr>
        <w:t>error</w:t>
      </w:r>
      <w:r>
        <w:t>,</w:t>
      </w:r>
      <w:r>
        <w:rPr>
          <w:rFonts w:hint="eastAsia"/>
        </w:rPr>
        <w:t xml:space="preserve"> </w:t>
      </w:r>
      <w:r>
        <w:t xml:space="preserve">UE capability and the channel condition, etc. The residual frequency </w:t>
      </w:r>
      <w:r>
        <w:rPr>
          <w:rFonts w:hint="eastAsia"/>
        </w:rPr>
        <w:t>error</w:t>
      </w:r>
      <w:r>
        <w:t xml:space="preserve"> by SSB processing is analyzed in this section.</w:t>
      </w:r>
    </w:p>
    <w:p>
      <w:pPr>
        <w:spacing w:before="120" w:after="120" w:line="260" w:lineRule="auto"/>
      </w:pPr>
      <w:r>
        <w:t>In a reasonable case,</w:t>
      </w:r>
      <w:r>
        <w:rPr>
          <w:rFonts w:hint="eastAsia"/>
        </w:rPr>
        <w:t xml:space="preserve"> </w:t>
      </w:r>
      <w:r>
        <w:t>a</w:t>
      </w:r>
      <w:r>
        <w:rPr>
          <w:rFonts w:hint="eastAsia"/>
        </w:rPr>
        <w:t xml:space="preserve">fter </w:t>
      </w:r>
      <w:r>
        <w:t>one</w:t>
      </w:r>
      <w:r>
        <w:rPr>
          <w:rFonts w:hint="eastAsia"/>
        </w:rPr>
        <w:t xml:space="preserve"> paging cycle, for example, 1.28 s, th</w:t>
      </w:r>
      <w:r>
        <w:t xml:space="preserve">ere is no </w:t>
      </w:r>
      <w:r>
        <w:rPr>
          <w:rFonts w:hint="eastAsia"/>
        </w:rPr>
        <w:t xml:space="preserve">significant frequency </w:t>
      </w:r>
      <w:r>
        <w:t>drift</w:t>
      </w:r>
      <w:r>
        <w:rPr>
          <w:rFonts w:hint="eastAsia"/>
        </w:rPr>
        <w:t xml:space="preserve"> for the UE.</w:t>
      </w:r>
      <w:r>
        <w:t xml:space="preserve"> Especially, for the non-initial acquisition situation, the UE should not be out-of-sync after one paging cycle. So regarding the carrier frequency offset (CFO) before SSB, 0.5 PPM is an appropriate value. Based on the LLS assumptions in Table A1, the results of the residual frequency error after processing one to three SSBs is provided in Figure 7. </w:t>
      </w:r>
    </w:p>
    <w:p>
      <w:pPr>
        <w:spacing w:before="120" w:after="120" w:line="260" w:lineRule="auto"/>
      </w:pPr>
    </w:p>
    <w:p>
      <w:pPr>
        <w:spacing w:before="120" w:after="120"/>
        <w:jc w:val="center"/>
      </w:pPr>
      <w:r>
        <w:t xml:space="preserve">  </w:t>
      </w:r>
      <w:r>
        <w:drawing>
          <wp:inline distT="0" distB="0" distL="114300" distR="114300">
            <wp:extent cx="2850515" cy="2138680"/>
            <wp:effectExtent l="0" t="0" r="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2850515" cy="2138680"/>
                    </a:xfrm>
                    <a:prstGeom prst="rect">
                      <a:avLst/>
                    </a:prstGeom>
                    <a:noFill/>
                    <a:ln>
                      <a:noFill/>
                    </a:ln>
                  </pic:spPr>
                </pic:pic>
              </a:graphicData>
            </a:graphic>
          </wp:inline>
        </w:drawing>
      </w:r>
      <w:r>
        <w:drawing>
          <wp:inline distT="0" distB="0" distL="114300" distR="114300">
            <wp:extent cx="2863215" cy="2148205"/>
            <wp:effectExtent l="0" t="0" r="0" b="44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2863215" cy="2148205"/>
                    </a:xfrm>
                    <a:prstGeom prst="rect">
                      <a:avLst/>
                    </a:prstGeom>
                    <a:noFill/>
                    <a:ln>
                      <a:noFill/>
                    </a:ln>
                  </pic:spPr>
                </pic:pic>
              </a:graphicData>
            </a:graphic>
          </wp:inline>
        </w:drawing>
      </w:r>
    </w:p>
    <w:p>
      <w:pPr>
        <w:spacing w:before="120" w:after="120"/>
        <w:jc w:val="center"/>
      </w:pPr>
      <w:r>
        <w:t>(a) 2</w:t>
      </w:r>
      <w:r>
        <w:rPr>
          <w:rFonts w:hint="eastAsia"/>
        </w:rPr>
        <w:t>×</w:t>
      </w:r>
      <w:r>
        <w:t>4 MIMO                               (b) 2</w:t>
      </w:r>
      <w:r>
        <w:rPr>
          <w:rFonts w:hint="eastAsia"/>
        </w:rPr>
        <w:t>×</w:t>
      </w:r>
      <w:r>
        <w:t>2 MIMO</w:t>
      </w:r>
    </w:p>
    <w:p>
      <w:pPr>
        <w:spacing w:before="120" w:after="120" w:line="260" w:lineRule="auto"/>
        <w:jc w:val="center"/>
      </w:pPr>
      <w:r>
        <w:t>Figure 7 Residual frequency error after SSB processing</w:t>
      </w:r>
    </w:p>
    <w:p>
      <w:pPr>
        <w:spacing w:before="120" w:after="120" w:line="260" w:lineRule="auto"/>
        <w:jc w:val="center"/>
      </w:pPr>
    </w:p>
    <w:p>
      <w:pPr>
        <w:spacing w:before="120" w:after="120" w:line="260" w:lineRule="auto"/>
      </w:pPr>
      <w:r>
        <w:t>From the simulation results, it can be seen that when the initial frequency error is +/-0.5 ppm, the residual frequency error</w:t>
      </w:r>
      <w:r>
        <w:rPr>
          <w:rFonts w:hint="eastAsia"/>
        </w:rPr>
        <w:t>(</w:t>
      </w:r>
      <w:r>
        <w:t>@CDF=</w:t>
      </w:r>
      <w:r>
        <w:rPr>
          <w:rFonts w:hint="eastAsia"/>
        </w:rPr>
        <w:t>90%)</w:t>
      </w:r>
      <w:r>
        <w:t xml:space="preserve"> </w:t>
      </w:r>
      <w:r>
        <w:rPr>
          <w:rFonts w:hint="eastAsia"/>
        </w:rPr>
        <w:t>are</w:t>
      </w:r>
      <w:r>
        <w:t xml:space="preserve"> about 0.1 PPM</w:t>
      </w:r>
      <w:r>
        <w:rPr>
          <w:rFonts w:hint="eastAsia"/>
        </w:rPr>
        <w:t xml:space="preserve">, </w:t>
      </w:r>
      <w:r>
        <w:t>0.065</w:t>
      </w:r>
      <w:r>
        <w:rPr>
          <w:rFonts w:hint="eastAsia"/>
        </w:rPr>
        <w:t xml:space="preserve"> </w:t>
      </w:r>
      <w:r>
        <w:t>PPM</w:t>
      </w:r>
      <w:r>
        <w:rPr>
          <w:rFonts w:hint="eastAsia"/>
        </w:rPr>
        <w:t xml:space="preserve"> and 0.05 PPM respectively after the calibration of one to three SSBs</w:t>
      </w:r>
      <w:r>
        <w:t xml:space="preserve"> processing at -6dB</w:t>
      </w:r>
      <w:r>
        <w:rPr>
          <w:rFonts w:hint="eastAsia"/>
        </w:rPr>
        <w:t xml:space="preserve">, </w:t>
      </w:r>
      <w:r>
        <w:t>2</w:t>
      </w:r>
      <w:r>
        <w:rPr>
          <w:rFonts w:hint="eastAsia"/>
        </w:rPr>
        <w:t>×4 MIMO</w:t>
      </w:r>
      <w:r>
        <w:t>.</w:t>
      </w:r>
      <w:r>
        <w:rPr>
          <w:rFonts w:hint="eastAsia"/>
        </w:rPr>
        <w:t xml:space="preserve"> W</w:t>
      </w:r>
      <w:r>
        <w:t>hen the initial frequency error is +/-0.5 ppm, the residual frequency error</w:t>
      </w:r>
      <w:r>
        <w:rPr>
          <w:rFonts w:hint="eastAsia"/>
        </w:rPr>
        <w:t>(</w:t>
      </w:r>
      <w:r>
        <w:t>@CDF=</w:t>
      </w:r>
      <w:r>
        <w:rPr>
          <w:rFonts w:hint="eastAsia"/>
        </w:rPr>
        <w:t>90%)</w:t>
      </w:r>
      <w:r>
        <w:t xml:space="preserve"> </w:t>
      </w:r>
      <w:r>
        <w:rPr>
          <w:rFonts w:hint="eastAsia"/>
        </w:rPr>
        <w:t>are</w:t>
      </w:r>
      <w:r>
        <w:t xml:space="preserve"> about 0.1</w:t>
      </w:r>
      <w:r>
        <w:rPr>
          <w:rFonts w:hint="eastAsia"/>
        </w:rPr>
        <w:t>5</w:t>
      </w:r>
      <w:r>
        <w:t xml:space="preserve"> PPM</w:t>
      </w:r>
      <w:r>
        <w:rPr>
          <w:rFonts w:hint="eastAsia"/>
        </w:rPr>
        <w:t xml:space="preserve">, </w:t>
      </w:r>
      <w:r>
        <w:t>0.</w:t>
      </w:r>
      <w:r>
        <w:rPr>
          <w:rFonts w:hint="eastAsia"/>
        </w:rPr>
        <w:t xml:space="preserve">1 </w:t>
      </w:r>
      <w:r>
        <w:t>PPM</w:t>
      </w:r>
      <w:r>
        <w:rPr>
          <w:rFonts w:hint="eastAsia"/>
        </w:rPr>
        <w:t xml:space="preserve"> and 0.075 PPM respectively after the calibration of one to three SSBs</w:t>
      </w:r>
      <w:r>
        <w:t xml:space="preserve"> processing at -6dB</w:t>
      </w:r>
      <w:r>
        <w:rPr>
          <w:rFonts w:hint="eastAsia"/>
        </w:rPr>
        <w:t xml:space="preserve">, </w:t>
      </w:r>
      <w:r>
        <w:t>2</w:t>
      </w:r>
      <w:r>
        <w:rPr>
          <w:rFonts w:hint="eastAsia"/>
        </w:rPr>
        <w:t>×2 MIMO</w:t>
      </w:r>
      <w:r>
        <w:t>.</w:t>
      </w:r>
      <w:r>
        <w:rPr>
          <w:rFonts w:hint="eastAsia"/>
        </w:rPr>
        <w:t xml:space="preserve"> The </w:t>
      </w:r>
      <w:r>
        <w:t>residual frequency error</w:t>
      </w:r>
      <w:r>
        <w:rPr>
          <w:rFonts w:hint="eastAsia"/>
        </w:rPr>
        <w:t xml:space="preserve"> is related to not only the number of antennas but also </w:t>
      </w:r>
      <w:r>
        <w:t xml:space="preserve">the </w:t>
      </w:r>
      <w:r>
        <w:rPr>
          <w:rFonts w:hint="eastAsia"/>
        </w:rPr>
        <w:t xml:space="preserve">channel conditions. For example, when SNR is equal to -8 dB, the residual frequency error (@CDF=90%) are about 0.125 PPM, 0.085 PPM and 0.07 PPM respectively after the calibration of one to three SSBs with </w:t>
      </w:r>
      <w:r>
        <w:t>2</w:t>
      </w:r>
      <w:r>
        <w:rPr>
          <w:rFonts w:hint="eastAsia"/>
        </w:rPr>
        <w:t xml:space="preserve">×4 MIMO. When SNR is equal to -4 dB, the residual frequency error (@CDF=90%) are about 0.11 PPM, 0.075 PPM and 0.059 PPM respectively after the calibration of one to three SSBs with </w:t>
      </w:r>
      <w:r>
        <w:t>2</w:t>
      </w:r>
      <w:r>
        <w:rPr>
          <w:rFonts w:hint="eastAsia"/>
        </w:rPr>
        <w:t>×2 MIMO.</w:t>
      </w:r>
      <w:bookmarkStart w:id="27" w:name="_Toc15263"/>
      <w:bookmarkEnd w:id="27"/>
    </w:p>
    <w:p>
      <w:pPr>
        <w:pStyle w:val="24"/>
        <w:spacing w:before="120" w:after="120"/>
        <w:rPr>
          <w:i w:val="0"/>
          <w:iCs w:val="0"/>
          <w:sz w:val="21"/>
          <w:szCs w:val="21"/>
          <w:lang w:val="en-US" w:eastAsia="zh-CN"/>
        </w:rPr>
      </w:pPr>
      <w:bookmarkStart w:id="28" w:name="_Toc4753"/>
      <w:bookmarkStart w:id="29" w:name="_Toc17152"/>
      <w:bookmarkStart w:id="30" w:name="_Toc23078"/>
      <w:bookmarkStart w:id="31" w:name="_Toc26707"/>
      <w:r>
        <w:rPr>
          <w:i w:val="0"/>
          <w:iCs w:val="0"/>
          <w:sz w:val="21"/>
          <w:szCs w:val="21"/>
          <w:lang w:val="en-US" w:eastAsia="zh-CN"/>
        </w:rPr>
        <w:t xml:space="preserve">When the initial frequency error is +/-0.5 ppm, the residual frequency errors (90%) are about 0.1 PPM, 0.065 PPM and 0.05 PPM, respectively after the calibration of one to three SSBs processing at -6dB, </w:t>
      </w:r>
      <w:r>
        <w:rPr>
          <w:rFonts w:hint="eastAsia"/>
          <w:i w:val="0"/>
          <w:iCs w:val="0"/>
          <w:sz w:val="21"/>
          <w:szCs w:val="21"/>
          <w:lang w:val="en-US" w:eastAsia="zh-CN"/>
        </w:rPr>
        <w:t>2×4 MIMO.</w:t>
      </w:r>
      <w:bookmarkEnd w:id="28"/>
      <w:bookmarkEnd w:id="29"/>
      <w:bookmarkEnd w:id="30"/>
      <w:bookmarkEnd w:id="31"/>
    </w:p>
    <w:p>
      <w:pPr>
        <w:pStyle w:val="24"/>
        <w:spacing w:before="120" w:after="120"/>
        <w:rPr>
          <w:i w:val="0"/>
          <w:iCs w:val="0"/>
          <w:sz w:val="21"/>
          <w:szCs w:val="21"/>
          <w:lang w:val="en-US" w:eastAsia="zh-CN"/>
        </w:rPr>
      </w:pPr>
      <w:bookmarkStart w:id="32" w:name="_Toc24140"/>
      <w:bookmarkStart w:id="33" w:name="_Toc11536"/>
      <w:r>
        <w:rPr>
          <w:i w:val="0"/>
          <w:iCs w:val="0"/>
          <w:sz w:val="21"/>
          <w:szCs w:val="21"/>
          <w:lang w:val="en-US" w:eastAsia="zh-CN"/>
        </w:rPr>
        <w:t>When the initial frequency error is +/-0.5 ppm, the residual frequency errors (90%) are about 0.1</w:t>
      </w:r>
      <w:r>
        <w:rPr>
          <w:rFonts w:hint="eastAsia"/>
          <w:i w:val="0"/>
          <w:iCs w:val="0"/>
          <w:sz w:val="21"/>
          <w:szCs w:val="21"/>
          <w:lang w:val="en-US" w:eastAsia="zh-CN"/>
        </w:rPr>
        <w:t>5</w:t>
      </w:r>
      <w:r>
        <w:rPr>
          <w:i w:val="0"/>
          <w:iCs w:val="0"/>
          <w:sz w:val="21"/>
          <w:szCs w:val="21"/>
          <w:lang w:val="en-US" w:eastAsia="zh-CN"/>
        </w:rPr>
        <w:t xml:space="preserve"> PPM, 0.</w:t>
      </w:r>
      <w:r>
        <w:rPr>
          <w:rFonts w:hint="eastAsia"/>
          <w:i w:val="0"/>
          <w:iCs w:val="0"/>
          <w:sz w:val="21"/>
          <w:szCs w:val="21"/>
          <w:lang w:val="en-US" w:eastAsia="zh-CN"/>
        </w:rPr>
        <w:t>1</w:t>
      </w:r>
      <w:r>
        <w:rPr>
          <w:i w:val="0"/>
          <w:iCs w:val="0"/>
          <w:sz w:val="21"/>
          <w:szCs w:val="21"/>
          <w:lang w:val="en-US" w:eastAsia="zh-CN"/>
        </w:rPr>
        <w:t xml:space="preserve"> PPM and 0.0</w:t>
      </w:r>
      <w:r>
        <w:rPr>
          <w:rFonts w:hint="eastAsia"/>
          <w:i w:val="0"/>
          <w:iCs w:val="0"/>
          <w:sz w:val="21"/>
          <w:szCs w:val="21"/>
          <w:lang w:val="en-US" w:eastAsia="zh-CN"/>
        </w:rPr>
        <w:t>7</w:t>
      </w:r>
      <w:r>
        <w:rPr>
          <w:i w:val="0"/>
          <w:iCs w:val="0"/>
          <w:sz w:val="21"/>
          <w:szCs w:val="21"/>
          <w:lang w:val="en-US" w:eastAsia="zh-CN"/>
        </w:rPr>
        <w:t xml:space="preserve">5 PPM, respectively after the calibration of one to three SSBs processing at -6dB, </w:t>
      </w:r>
      <w:r>
        <w:rPr>
          <w:rFonts w:hint="eastAsia"/>
          <w:i w:val="0"/>
          <w:iCs w:val="0"/>
          <w:sz w:val="21"/>
          <w:szCs w:val="21"/>
          <w:lang w:val="en-US" w:eastAsia="zh-CN"/>
        </w:rPr>
        <w:t>2×2 MIMO.</w:t>
      </w:r>
      <w:bookmarkEnd w:id="32"/>
      <w:bookmarkEnd w:id="33"/>
    </w:p>
    <w:p>
      <w:pPr>
        <w:spacing w:before="120" w:after="120"/>
      </w:pPr>
    </w:p>
    <w:p>
      <w:pPr>
        <w:pStyle w:val="2"/>
        <w:spacing w:before="120" w:after="120"/>
        <w:ind w:left="0"/>
        <w:rPr>
          <w:rFonts w:ascii="Times New Roman" w:hAnsi="Times New Roman" w:eastAsia="SimSun"/>
          <w:b/>
          <w:bCs/>
          <w:sz w:val="24"/>
          <w:szCs w:val="24"/>
        </w:rPr>
      </w:pPr>
      <w:r>
        <w:rPr>
          <w:rFonts w:ascii="Times New Roman" w:hAnsi="Times New Roman" w:eastAsia="SimSun"/>
          <w:b/>
          <w:bCs/>
          <w:sz w:val="24"/>
          <w:szCs w:val="24"/>
        </w:rPr>
        <w:t>Conclusion</w:t>
      </w:r>
    </w:p>
    <w:p>
      <w:pPr>
        <w:spacing w:before="120" w:after="120" w:line="260" w:lineRule="auto"/>
        <w:rPr>
          <w:szCs w:val="22"/>
        </w:rPr>
      </w:pPr>
      <w:r>
        <w:t xml:space="preserve">In this contribution, we discuss the </w:t>
      </w:r>
      <w:r>
        <w:rPr>
          <w:rFonts w:hint="eastAsia"/>
        </w:rPr>
        <w:t xml:space="preserve">detection performance and </w:t>
      </w:r>
      <w:r>
        <w:t xml:space="preserve">power saving gain of </w:t>
      </w:r>
      <w:r>
        <w:rPr>
          <w:rFonts w:hint="eastAsia"/>
        </w:rPr>
        <w:t>IDLE mode UE</w:t>
      </w:r>
      <w:r>
        <w:t>. We have the following observations</w:t>
      </w:r>
      <w:r>
        <w:rPr>
          <w:rFonts w:hint="eastAsia"/>
        </w:rPr>
        <w:t xml:space="preserve"> and proposal</w:t>
      </w:r>
      <w:r>
        <w:t>.</w:t>
      </w:r>
    </w:p>
    <w:p>
      <w:pPr>
        <w:pStyle w:val="10"/>
        <w:tabs>
          <w:tab w:val="right" w:leader="dot" w:pos="9660"/>
          <w:tab w:val="clear" w:pos="0"/>
        </w:tabs>
        <w:spacing w:before="120" w:after="120"/>
        <w:jc w:val="both"/>
      </w:pPr>
      <w:r>
        <w:rPr>
          <w:sz w:val="21"/>
          <w:szCs w:val="21"/>
        </w:rPr>
        <w:fldChar w:fldCharType="begin"/>
      </w:r>
      <w:r>
        <w:rPr>
          <w:sz w:val="21"/>
          <w:szCs w:val="21"/>
        </w:rPr>
        <w:instrText xml:space="preserve">TOC \n  \t "YJ-Observation,1,sub-observation,2,3rd level observation,3" \h</w:instrText>
      </w:r>
      <w:r>
        <w:rPr>
          <w:sz w:val="21"/>
          <w:szCs w:val="21"/>
        </w:rPr>
        <w:fldChar w:fldCharType="separate"/>
      </w:r>
      <w:r>
        <w:fldChar w:fldCharType="begin"/>
      </w:r>
      <w:r>
        <w:instrText xml:space="preserve"> HYPERLINK \l "_Toc10680" </w:instrText>
      </w:r>
      <w:r>
        <w:fldChar w:fldCharType="separate"/>
      </w:r>
      <w:r>
        <w:rPr>
          <w:rFonts w:eastAsia="SimSun"/>
          <w:i w:val="0"/>
          <w:iCs w:val="0"/>
        </w:rPr>
        <w:t xml:space="preserve">Observation 1: </w:t>
      </w:r>
      <w:r>
        <w:rPr>
          <w:i w:val="0"/>
        </w:rPr>
        <w:t xml:space="preserve">When the CFO is </w:t>
      </w:r>
      <w:r>
        <w:rPr>
          <w:i w:val="0"/>
          <w:iCs w:val="0"/>
        </w:rPr>
        <w:t xml:space="preserve">no larger </w:t>
      </w:r>
      <w:r>
        <w:rPr>
          <w:i w:val="0"/>
        </w:rPr>
        <w:t>than 0.5 PPM, the detection performance loss of paging PDCCH and PDSCH is less than 0.2 dB.</w:t>
      </w:r>
      <w:r>
        <w:rPr>
          <w:i w:val="0"/>
        </w:rPr>
        <w:fldChar w:fldCharType="end"/>
      </w:r>
    </w:p>
    <w:p>
      <w:pPr>
        <w:pStyle w:val="10"/>
        <w:tabs>
          <w:tab w:val="right" w:leader="dot" w:pos="9660"/>
          <w:tab w:val="clear" w:pos="0"/>
        </w:tabs>
        <w:spacing w:before="120" w:after="120"/>
        <w:jc w:val="both"/>
      </w:pPr>
      <w:r>
        <w:fldChar w:fldCharType="begin"/>
      </w:r>
      <w:r>
        <w:instrText xml:space="preserve"> HYPERLINK \l "_Toc2384" </w:instrText>
      </w:r>
      <w:r>
        <w:fldChar w:fldCharType="separate"/>
      </w:r>
      <w:r>
        <w:rPr>
          <w:rFonts w:eastAsia="SimSun"/>
          <w:i w:val="0"/>
          <w:iCs w:val="0"/>
        </w:rPr>
        <w:t xml:space="preserve">Observation 2: </w:t>
      </w:r>
      <w:r>
        <w:rPr>
          <w:rFonts w:hint="eastAsia"/>
          <w:i w:val="0"/>
          <w:iCs w:val="0"/>
        </w:rPr>
        <w:t>The performance of DCI-based PEI meets the requirement when the aggregation level is 4.</w:t>
      </w:r>
      <w:r>
        <w:rPr>
          <w:rFonts w:hint="eastAsia"/>
          <w:i w:val="0"/>
          <w:iCs w:val="0"/>
        </w:rPr>
        <w:fldChar w:fldCharType="end"/>
      </w:r>
    </w:p>
    <w:p>
      <w:pPr>
        <w:pStyle w:val="10"/>
        <w:tabs>
          <w:tab w:val="right" w:leader="dot" w:pos="9660"/>
          <w:tab w:val="clear" w:pos="0"/>
        </w:tabs>
        <w:spacing w:before="120" w:after="120"/>
        <w:jc w:val="both"/>
      </w:pPr>
      <w:r>
        <w:fldChar w:fldCharType="begin"/>
      </w:r>
      <w:r>
        <w:instrText xml:space="preserve"> HYPERLINK \l "_Toc8929" </w:instrText>
      </w:r>
      <w:r>
        <w:fldChar w:fldCharType="separate"/>
      </w:r>
      <w:r>
        <w:rPr>
          <w:rFonts w:eastAsia="SimSun"/>
          <w:i w:val="0"/>
          <w:iCs w:val="0"/>
        </w:rPr>
        <w:t xml:space="preserve">Observation 3: </w:t>
      </w:r>
      <w:r>
        <w:rPr>
          <w:i w:val="0"/>
          <w:iCs w:val="0"/>
        </w:rPr>
        <w:t>The PEI located near the first SSB provides the maximum power saving gain.</w:t>
      </w:r>
      <w:r>
        <w:rPr>
          <w:i w:val="0"/>
          <w:iCs w:val="0"/>
        </w:rPr>
        <w:fldChar w:fldCharType="end"/>
      </w:r>
    </w:p>
    <w:p>
      <w:pPr>
        <w:pStyle w:val="10"/>
        <w:tabs>
          <w:tab w:val="right" w:leader="dot" w:pos="9660"/>
          <w:tab w:val="clear" w:pos="0"/>
        </w:tabs>
        <w:spacing w:before="120" w:after="120"/>
        <w:jc w:val="both"/>
      </w:pPr>
      <w:r>
        <w:fldChar w:fldCharType="begin"/>
      </w:r>
      <w:r>
        <w:instrText xml:space="preserve"> HYPERLINK \l "_Toc2706" </w:instrText>
      </w:r>
      <w:r>
        <w:fldChar w:fldCharType="separate"/>
      </w:r>
      <w:r>
        <w:rPr>
          <w:rFonts w:eastAsia="SimSun"/>
          <w:i w:val="0"/>
          <w:iCs w:val="0"/>
        </w:rPr>
        <w:t xml:space="preserve">Observation 4: </w:t>
      </w:r>
      <w:r>
        <w:rPr>
          <w:i w:val="0"/>
          <w:iCs w:val="0"/>
        </w:rPr>
        <w:t>The power saving gains obtained by the PEI located in location 1 and location 2 are basically the same.</w:t>
      </w:r>
      <w:r>
        <w:rPr>
          <w:i w:val="0"/>
          <w:iCs w:val="0"/>
        </w:rPr>
        <w:fldChar w:fldCharType="end"/>
      </w:r>
    </w:p>
    <w:p>
      <w:pPr>
        <w:pStyle w:val="10"/>
        <w:tabs>
          <w:tab w:val="right" w:leader="dot" w:pos="9660"/>
          <w:tab w:val="clear" w:pos="0"/>
        </w:tabs>
        <w:spacing w:before="120" w:after="120"/>
        <w:jc w:val="both"/>
      </w:pPr>
      <w:r>
        <w:fldChar w:fldCharType="begin"/>
      </w:r>
      <w:r>
        <w:instrText xml:space="preserve"> HYPERLINK \l "_Toc24060" </w:instrText>
      </w:r>
      <w:r>
        <w:fldChar w:fldCharType="separate"/>
      </w:r>
      <w:r>
        <w:rPr>
          <w:rFonts w:eastAsia="SimSun"/>
          <w:i w:val="0"/>
          <w:iCs w:val="0"/>
        </w:rPr>
        <w:t xml:space="preserve">Observation 5: </w:t>
      </w:r>
      <w:r>
        <w:rPr>
          <w:i w:val="0"/>
          <w:iCs w:val="0"/>
        </w:rPr>
        <w:t>The c</w:t>
      </w:r>
      <w:r>
        <w:rPr>
          <w:rFonts w:hint="eastAsia"/>
          <w:i w:val="0"/>
          <w:iCs w:val="0"/>
        </w:rPr>
        <w:t>ombin</w:t>
      </w:r>
      <w:r>
        <w:rPr>
          <w:i w:val="0"/>
          <w:iCs w:val="0"/>
        </w:rPr>
        <w:t>ation of</w:t>
      </w:r>
      <w:r>
        <w:rPr>
          <w:rFonts w:hint="eastAsia"/>
          <w:i w:val="0"/>
          <w:iCs w:val="0"/>
        </w:rPr>
        <w:t xml:space="preserve"> PEI and sub-grouping can provide more power saving gain.</w:t>
      </w:r>
      <w:r>
        <w:rPr>
          <w:rFonts w:hint="eastAsia"/>
          <w:i w:val="0"/>
          <w:iCs w:val="0"/>
        </w:rPr>
        <w:fldChar w:fldCharType="end"/>
      </w:r>
    </w:p>
    <w:p>
      <w:pPr>
        <w:pStyle w:val="10"/>
        <w:tabs>
          <w:tab w:val="right" w:leader="dot" w:pos="9660"/>
          <w:tab w:val="clear" w:pos="0"/>
        </w:tabs>
        <w:spacing w:before="120" w:after="120"/>
        <w:jc w:val="both"/>
      </w:pPr>
      <w:r>
        <w:fldChar w:fldCharType="begin"/>
      </w:r>
      <w:r>
        <w:instrText xml:space="preserve"> HYPERLINK \l "_Toc3382" </w:instrText>
      </w:r>
      <w:r>
        <w:fldChar w:fldCharType="separate"/>
      </w:r>
      <w:r>
        <w:rPr>
          <w:rFonts w:eastAsia="SimSun"/>
          <w:i w:val="0"/>
          <w:iCs w:val="0"/>
        </w:rPr>
        <w:t xml:space="preserve">Observation 6: </w:t>
      </w:r>
      <w:r>
        <w:rPr>
          <w:i w:val="0"/>
          <w:iCs w:val="0"/>
        </w:rPr>
        <w:t>The power saving gain from DCI-based PEI and sequence-based PEI is almost the same.</w:t>
      </w:r>
      <w:r>
        <w:rPr>
          <w:i w:val="0"/>
          <w:iCs w:val="0"/>
        </w:rPr>
        <w:fldChar w:fldCharType="end"/>
      </w:r>
    </w:p>
    <w:p>
      <w:pPr>
        <w:pStyle w:val="10"/>
        <w:tabs>
          <w:tab w:val="right" w:leader="dot" w:pos="9660"/>
          <w:tab w:val="clear" w:pos="0"/>
        </w:tabs>
        <w:spacing w:before="120" w:after="120"/>
        <w:jc w:val="both"/>
      </w:pPr>
      <w:r>
        <w:fldChar w:fldCharType="begin"/>
      </w:r>
      <w:r>
        <w:instrText xml:space="preserve"> HYPERLINK \l "_Toc26707" </w:instrText>
      </w:r>
      <w:r>
        <w:fldChar w:fldCharType="separate"/>
      </w:r>
      <w:r>
        <w:rPr>
          <w:rFonts w:eastAsia="SimSun"/>
          <w:i w:val="0"/>
          <w:iCs w:val="0"/>
          <w:szCs w:val="21"/>
        </w:rPr>
        <w:t xml:space="preserve">Observation 7: </w:t>
      </w:r>
      <w:r>
        <w:rPr>
          <w:i w:val="0"/>
          <w:iCs w:val="0"/>
          <w:szCs w:val="21"/>
        </w:rPr>
        <w:t xml:space="preserve">When the initial frequency error is +/-0.5 ppm, the residual frequency errors (90%) are about 0.1 PPM, 0.065 PPM and 0.05 PPM, respectively after the calibration of one to three SSBs processing at -6dB, </w:t>
      </w:r>
      <w:r>
        <w:rPr>
          <w:rFonts w:hint="eastAsia"/>
          <w:i w:val="0"/>
          <w:iCs w:val="0"/>
          <w:szCs w:val="21"/>
        </w:rPr>
        <w:t>2×4 MIMO.</w:t>
      </w:r>
      <w:r>
        <w:rPr>
          <w:rFonts w:hint="eastAsia"/>
          <w:i w:val="0"/>
          <w:iCs w:val="0"/>
          <w:szCs w:val="21"/>
        </w:rPr>
        <w:fldChar w:fldCharType="end"/>
      </w:r>
    </w:p>
    <w:p>
      <w:pPr>
        <w:pStyle w:val="10"/>
        <w:tabs>
          <w:tab w:val="right" w:leader="dot" w:pos="9660"/>
          <w:tab w:val="clear" w:pos="0"/>
        </w:tabs>
        <w:spacing w:before="120" w:after="120"/>
        <w:jc w:val="both"/>
      </w:pPr>
      <w:r>
        <w:fldChar w:fldCharType="begin"/>
      </w:r>
      <w:r>
        <w:instrText xml:space="preserve"> HYPERLINK \l "_Toc11536" </w:instrText>
      </w:r>
      <w:r>
        <w:fldChar w:fldCharType="separate"/>
      </w:r>
      <w:r>
        <w:rPr>
          <w:rFonts w:eastAsia="SimSun"/>
          <w:i w:val="0"/>
          <w:iCs w:val="0"/>
          <w:szCs w:val="21"/>
        </w:rPr>
        <w:t xml:space="preserve">Observation 8: </w:t>
      </w:r>
      <w:r>
        <w:rPr>
          <w:i w:val="0"/>
          <w:iCs w:val="0"/>
          <w:szCs w:val="21"/>
        </w:rPr>
        <w:t>When the initial frequency error is +/-0.5 ppm, the residual frequency errors (90%) are about 0.1</w:t>
      </w:r>
      <w:r>
        <w:rPr>
          <w:rFonts w:hint="eastAsia"/>
          <w:i w:val="0"/>
          <w:iCs w:val="0"/>
          <w:szCs w:val="21"/>
        </w:rPr>
        <w:t>5</w:t>
      </w:r>
      <w:r>
        <w:rPr>
          <w:i w:val="0"/>
          <w:iCs w:val="0"/>
          <w:szCs w:val="21"/>
        </w:rPr>
        <w:t xml:space="preserve"> PPM, 0.</w:t>
      </w:r>
      <w:r>
        <w:rPr>
          <w:rFonts w:hint="eastAsia"/>
          <w:i w:val="0"/>
          <w:iCs w:val="0"/>
          <w:szCs w:val="21"/>
        </w:rPr>
        <w:t>1</w:t>
      </w:r>
      <w:r>
        <w:rPr>
          <w:i w:val="0"/>
          <w:iCs w:val="0"/>
          <w:szCs w:val="21"/>
        </w:rPr>
        <w:t xml:space="preserve"> PPM and 0.0</w:t>
      </w:r>
      <w:r>
        <w:rPr>
          <w:rFonts w:hint="eastAsia"/>
          <w:i w:val="0"/>
          <w:iCs w:val="0"/>
          <w:szCs w:val="21"/>
        </w:rPr>
        <w:t>7</w:t>
      </w:r>
      <w:r>
        <w:rPr>
          <w:i w:val="0"/>
          <w:iCs w:val="0"/>
          <w:szCs w:val="21"/>
        </w:rPr>
        <w:t xml:space="preserve">5 PPM, respectively after the calibration of one to three SSBs processing at -6dB, </w:t>
      </w:r>
      <w:r>
        <w:rPr>
          <w:rFonts w:hint="eastAsia"/>
          <w:i w:val="0"/>
          <w:iCs w:val="0"/>
          <w:szCs w:val="21"/>
        </w:rPr>
        <w:t>2×2 MIMO.</w:t>
      </w:r>
      <w:r>
        <w:rPr>
          <w:rFonts w:hint="eastAsia"/>
          <w:i w:val="0"/>
          <w:iCs w:val="0"/>
          <w:szCs w:val="21"/>
        </w:rPr>
        <w:fldChar w:fldCharType="end"/>
      </w:r>
    </w:p>
    <w:p>
      <w:pPr>
        <w:spacing w:before="120" w:after="120"/>
      </w:pPr>
      <w:r>
        <w:rPr>
          <w:szCs w:val="21"/>
        </w:rPr>
        <w:fldChar w:fldCharType="end"/>
      </w:r>
    </w:p>
    <w:p>
      <w:pPr>
        <w:pStyle w:val="10"/>
        <w:tabs>
          <w:tab w:val="right" w:leader="dot" w:pos="9660"/>
          <w:tab w:val="clear" w:pos="0"/>
        </w:tabs>
        <w:spacing w:before="120" w:after="120"/>
        <w:jc w:val="both"/>
      </w:pPr>
      <w:r>
        <w:rPr>
          <w:sz w:val="21"/>
          <w:szCs w:val="21"/>
        </w:rPr>
        <w:fldChar w:fldCharType="begin"/>
      </w:r>
      <w:r>
        <w:rPr>
          <w:sz w:val="21"/>
          <w:szCs w:val="21"/>
        </w:rPr>
        <w:instrText xml:space="preserve">TOC \n  \t "YJ-Proposal,1,sub-proposal,2,3rd level proposal,3" \h</w:instrText>
      </w:r>
      <w:r>
        <w:rPr>
          <w:sz w:val="21"/>
          <w:szCs w:val="21"/>
        </w:rPr>
        <w:fldChar w:fldCharType="separate"/>
      </w:r>
      <w:r>
        <w:fldChar w:fldCharType="begin"/>
      </w:r>
      <w:r>
        <w:instrText xml:space="preserve"> HYPERLINK \l "_Toc7741" </w:instrText>
      </w:r>
      <w:r>
        <w:fldChar w:fldCharType="separate"/>
      </w:r>
      <w:r>
        <w:rPr>
          <w:rFonts w:eastAsia="SimSun"/>
          <w:i w:val="0"/>
          <w:iCs w:val="0"/>
        </w:rPr>
        <w:t xml:space="preserve">Proposal 1: </w:t>
      </w:r>
      <w:r>
        <w:rPr>
          <w:rFonts w:hint="eastAsia"/>
          <w:i w:val="0"/>
          <w:iCs w:val="0"/>
        </w:rPr>
        <w:t xml:space="preserve">The combination of DCI-based PEI and sub-grouping </w:t>
      </w:r>
      <w:r>
        <w:rPr>
          <w:i w:val="0"/>
          <w:iCs w:val="0"/>
        </w:rPr>
        <w:t>should</w:t>
      </w:r>
      <w:r>
        <w:rPr>
          <w:rFonts w:hint="eastAsia"/>
          <w:i w:val="0"/>
          <w:iCs w:val="0"/>
        </w:rPr>
        <w:t xml:space="preserve"> be considered.</w:t>
      </w:r>
      <w:r>
        <w:rPr>
          <w:rFonts w:hint="eastAsia"/>
          <w:i w:val="0"/>
          <w:iCs w:val="0"/>
        </w:rPr>
        <w:fldChar w:fldCharType="end"/>
      </w:r>
    </w:p>
    <w:p>
      <w:pPr>
        <w:spacing w:before="120" w:after="120"/>
      </w:pPr>
      <w:r>
        <w:rPr>
          <w:szCs w:val="21"/>
        </w:rPr>
        <w:fldChar w:fldCharType="end"/>
      </w:r>
    </w:p>
    <w:p>
      <w:pPr>
        <w:pStyle w:val="2"/>
        <w:spacing w:before="120" w:after="120"/>
        <w:ind w:left="0"/>
        <w:rPr>
          <w:rFonts w:ascii="Times New Roman" w:hAnsi="Times New Roman" w:eastAsia="SimSun"/>
        </w:rPr>
      </w:pPr>
      <w:r>
        <w:rPr>
          <w:rFonts w:ascii="Times New Roman" w:hAnsi="Times New Roman" w:eastAsia="SimSun"/>
        </w:rPr>
        <w:t>References</w:t>
      </w:r>
    </w:p>
    <w:p>
      <w:pPr>
        <w:pStyle w:val="30"/>
        <w:spacing w:before="120" w:after="120"/>
        <w:ind w:left="363" w:hanging="363"/>
        <w:rPr>
          <w:szCs w:val="20"/>
        </w:rPr>
      </w:pPr>
      <w:bookmarkStart w:id="34" w:name="_Ref31645"/>
      <w:bookmarkStart w:id="35" w:name="_Ref17466"/>
      <w:r>
        <w:rPr>
          <w:szCs w:val="20"/>
        </w:rPr>
        <w:t xml:space="preserve"> </w:t>
      </w:r>
      <w:bookmarkEnd w:id="34"/>
      <w:r>
        <w:rPr>
          <w:rFonts w:hint="eastAsia"/>
          <w:szCs w:val="20"/>
        </w:rPr>
        <w:t>ZTE, R1-2100523, Discussion on power saving enhancements for paging.</w:t>
      </w:r>
    </w:p>
    <w:bookmarkEnd w:id="35"/>
    <w:p>
      <w:pPr>
        <w:pStyle w:val="30"/>
        <w:numPr>
          <w:ilvl w:val="0"/>
          <w:numId w:val="0"/>
        </w:numPr>
        <w:spacing w:before="120" w:after="120"/>
        <w:ind w:left="360"/>
        <w:rPr>
          <w:szCs w:val="20"/>
        </w:rPr>
      </w:pPr>
    </w:p>
    <w:p>
      <w:pPr>
        <w:pStyle w:val="2"/>
        <w:numPr>
          <w:ilvl w:val="0"/>
          <w:numId w:val="0"/>
        </w:numPr>
        <w:spacing w:before="120" w:after="120"/>
        <w:rPr>
          <w:rFonts w:ascii="Times New Roman" w:hAnsi="Times New Roman"/>
          <w:b/>
          <w:bCs/>
          <w:sz w:val="28"/>
          <w:szCs w:val="28"/>
        </w:rPr>
      </w:pPr>
      <w:r>
        <w:rPr>
          <w:rFonts w:ascii="Times New Roman" w:hAnsi="Times New Roman"/>
          <w:b/>
          <w:bCs/>
          <w:sz w:val="28"/>
          <w:szCs w:val="28"/>
        </w:rPr>
        <w:t>Appendix A: Simulation assumptions</w:t>
      </w:r>
    </w:p>
    <w:p>
      <w:pPr>
        <w:pStyle w:val="6"/>
        <w:tabs>
          <w:tab w:val="left" w:pos="420"/>
        </w:tabs>
        <w:snapToGrid w:val="0"/>
        <w:spacing w:before="120" w:after="120" w:line="268" w:lineRule="auto"/>
        <w:contextualSpacing/>
        <w:jc w:val="center"/>
      </w:pPr>
      <w:r>
        <w:t xml:space="preserve">Table A1. Simulation assumptions for residual frequency error </w:t>
      </w:r>
    </w:p>
    <w:tbl>
      <w:tblPr>
        <w:tblStyle w:val="14"/>
        <w:tblW w:w="7597" w:type="dxa"/>
        <w:jc w:val="center"/>
        <w:tblLayout w:type="autofit"/>
        <w:tblCellMar>
          <w:top w:w="0" w:type="dxa"/>
          <w:left w:w="0" w:type="dxa"/>
          <w:bottom w:w="0" w:type="dxa"/>
          <w:right w:w="0" w:type="dxa"/>
        </w:tblCellMar>
      </w:tblPr>
      <w:tblGrid>
        <w:gridCol w:w="2352"/>
        <w:gridCol w:w="5245"/>
      </w:tblGrid>
      <w:tr>
        <w:tblPrEx>
          <w:tblCellMar>
            <w:top w:w="0" w:type="dxa"/>
            <w:left w:w="0" w:type="dxa"/>
            <w:bottom w:w="0" w:type="dxa"/>
            <w:right w:w="0" w:type="dxa"/>
          </w:tblCellMar>
        </w:tblPrEx>
        <w:trPr>
          <w:jc w:val="center"/>
        </w:trPr>
        <w:tc>
          <w:tcPr>
            <w:tcW w:w="235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Parameters</w:t>
            </w:r>
          </w:p>
        </w:tc>
        <w:tc>
          <w:tcPr>
            <w:tcW w:w="524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Values</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Carrier Frequency</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4GHz</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Transmission BW</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20MHz</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SCS</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30KHz</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Antenna Configuration</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2Tx and 2</w:t>
            </w:r>
            <w:r>
              <w:rPr>
                <w:rFonts w:hint="eastAsia"/>
                <w:sz w:val="18"/>
                <w:szCs w:val="18"/>
              </w:rPr>
              <w:t>/4</w:t>
            </w:r>
            <w:r>
              <w:rPr>
                <w:sz w:val="18"/>
                <w:szCs w:val="18"/>
              </w:rPr>
              <w:t>Rx</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Channels</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TDL-C</w:t>
            </w:r>
          </w:p>
          <w:p>
            <w:pPr>
              <w:spacing w:before="120" w:after="120"/>
              <w:jc w:val="center"/>
              <w:rPr>
                <w:sz w:val="18"/>
                <w:szCs w:val="18"/>
              </w:rPr>
            </w:pPr>
            <w:r>
              <w:rPr>
                <w:sz w:val="18"/>
                <w:szCs w:val="18"/>
              </w:rPr>
              <w:t>300 ns delay spread</w:t>
            </w:r>
          </w:p>
          <w:p>
            <w:pPr>
              <w:spacing w:before="120" w:after="120"/>
              <w:jc w:val="center"/>
              <w:rPr>
                <w:sz w:val="18"/>
                <w:szCs w:val="18"/>
              </w:rPr>
            </w:pPr>
            <w:r>
              <w:rPr>
                <w:sz w:val="18"/>
                <w:szCs w:val="18"/>
              </w:rPr>
              <w:t>100 Hz Doppler shift</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Frequency error</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[-0.5, +0.5]ppm before SSB,</w:t>
            </w:r>
          </w:p>
          <w:p>
            <w:pPr>
              <w:spacing w:before="120" w:after="120"/>
              <w:jc w:val="center"/>
              <w:rPr>
                <w:sz w:val="18"/>
                <w:szCs w:val="18"/>
              </w:rPr>
            </w:pPr>
            <w:r>
              <w:rPr>
                <w:sz w:val="18"/>
                <w:szCs w:val="18"/>
              </w:rPr>
              <w:t>0 - 0.5 PPM for detection performance</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PDCCH configuration</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Paging DCI: AL8, 41 info + 24 CRC bits, REG bundle size 6;</w:t>
            </w:r>
          </w:p>
          <w:p>
            <w:pPr>
              <w:spacing w:before="120" w:after="120"/>
              <w:jc w:val="center"/>
              <w:rPr>
                <w:sz w:val="18"/>
                <w:szCs w:val="18"/>
              </w:rPr>
            </w:pPr>
            <w:r>
              <w:rPr>
                <w:sz w:val="18"/>
                <w:szCs w:val="18"/>
              </w:rPr>
              <w:t>DCI-based PEI:AL4/8, 12 info + 24 CRC bits, REG bundle size 6.</w:t>
            </w:r>
          </w:p>
        </w:tc>
      </w:tr>
      <w:tr>
        <w:tblPrEx>
          <w:tblCellMar>
            <w:top w:w="0" w:type="dxa"/>
            <w:left w:w="0" w:type="dxa"/>
            <w:bottom w:w="0" w:type="dxa"/>
            <w:right w:w="0" w:type="dxa"/>
          </w:tblCellMar>
        </w:tblPrEx>
        <w:trPr>
          <w:jc w:val="center"/>
        </w:trPr>
        <w:tc>
          <w:tcPr>
            <w:tcW w:w="2352"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20" w:after="120"/>
              <w:jc w:val="center"/>
              <w:rPr>
                <w:b/>
                <w:bCs/>
                <w:sz w:val="18"/>
                <w:szCs w:val="18"/>
              </w:rPr>
            </w:pPr>
            <w:r>
              <w:rPr>
                <w:b/>
                <w:bCs/>
                <w:sz w:val="18"/>
                <w:szCs w:val="18"/>
              </w:rPr>
              <w:t>PDSCH configuration</w:t>
            </w:r>
          </w:p>
        </w:tc>
        <w:tc>
          <w:tcPr>
            <w:tcW w:w="5245"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20" w:after="120"/>
              <w:jc w:val="center"/>
              <w:rPr>
                <w:sz w:val="18"/>
                <w:szCs w:val="18"/>
              </w:rPr>
            </w:pPr>
            <w:r>
              <w:rPr>
                <w:sz w:val="18"/>
                <w:szCs w:val="18"/>
              </w:rPr>
              <w:t>Mapping type A, MCS 0, 48 PRB, TB scaling 1, DMRS type 1 with 2 additional DMRS</w:t>
            </w:r>
          </w:p>
        </w:tc>
      </w:tr>
    </w:tbl>
    <w:p>
      <w:pPr>
        <w:spacing w:beforeLines="0" w:afterLines="0"/>
        <w:jc w:val="left"/>
      </w:pPr>
    </w:p>
    <w:sectPr>
      <w:footerReference r:id="rId3" w:type="default"/>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TFangsong">
    <w:panose1 w:val="02010600040101010101"/>
    <w:charset w:val="86"/>
    <w:family w:val="auto"/>
    <w:pitch w:val="default"/>
    <w:sig w:usb0="00000287" w:usb1="080F0000" w:usb2="00000000" w:usb3="00000000" w:csb0="0004009F" w:csb1="DFD70000"/>
  </w:font>
  <w:font w:name="仿宋_GB2312">
    <w:altName w:val="FangSong"/>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D4F1AF"/>
    <w:multiLevelType w:val="singleLevel"/>
    <w:tmpl w:val="A4D4F1AF"/>
    <w:lvl w:ilvl="0" w:tentative="0">
      <w:start w:val="1"/>
      <w:numFmt w:val="bullet"/>
      <w:lvlText w:val=""/>
      <w:lvlJc w:val="left"/>
      <w:pPr>
        <w:ind w:left="420" w:hanging="420"/>
      </w:pPr>
      <w:rPr>
        <w:rFonts w:hint="default" w:ascii="Wingdings" w:hAnsi="Wingdings"/>
      </w:rPr>
    </w:lvl>
  </w:abstractNum>
  <w:abstractNum w:abstractNumId="1">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5"/>
      <w:lvlText w:val="Proposal %1:"/>
      <w:lvlJc w:val="left"/>
      <w:pPr>
        <w:tabs>
          <w:tab w:val="left" w:pos="0"/>
        </w:tabs>
        <w:ind w:left="0" w:firstLine="0"/>
      </w:pPr>
      <w:rPr>
        <w:rFonts w:hint="default" w:ascii="Times New Roman" w:hAnsi="Times New Roman" w:eastAsia="SimSun" w:cs="Times New Roman"/>
        <w:b/>
        <w:bCs/>
        <w:i w:val="0"/>
        <w:iCs w:val="0"/>
      </w:rPr>
    </w:lvl>
    <w:lvl w:ilvl="1" w:tentative="0">
      <w:start w:val="1"/>
      <w:numFmt w:val="bullet"/>
      <w:lvlText w:val="•"/>
      <w:lvlJc w:val="left"/>
      <w:pPr>
        <w:tabs>
          <w:tab w:val="left" w:pos="840"/>
        </w:tabs>
        <w:ind w:left="840" w:hanging="420"/>
      </w:pPr>
      <w:rPr>
        <w:rFonts w:hint="default" w:ascii="Arial" w:hAnsi="Arial" w:eastAsia="SimSun"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D8B849DC"/>
    <w:multiLevelType w:val="singleLevel"/>
    <w:tmpl w:val="D8B849DC"/>
    <w:lvl w:ilvl="0" w:tentative="0">
      <w:start w:val="1"/>
      <w:numFmt w:val="decimal"/>
      <w:pStyle w:val="24"/>
      <w:lvlText w:val="Observation %1: "/>
      <w:lvlJc w:val="left"/>
      <w:pPr>
        <w:tabs>
          <w:tab w:val="left" w:pos="1134"/>
        </w:tabs>
        <w:ind w:left="0" w:firstLine="0"/>
      </w:pPr>
      <w:rPr>
        <w:rFonts w:hint="default" w:ascii="Times New Roman" w:hAnsi="Times New Roman" w:eastAsia="SimSun" w:cs="Times New Roman"/>
        <w:b/>
        <w:bCs/>
        <w:i w:val="0"/>
        <w:iCs w:val="0"/>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SimHei"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SimHei"/>
        <w:b w:val="0"/>
        <w:i w:val="0"/>
        <w:sz w:val="18"/>
        <w:szCs w:val="18"/>
      </w:rPr>
    </w:lvl>
    <w:lvl w:ilvl="8" w:tentative="0">
      <w:start w:val="1"/>
      <w:numFmt w:val="decimal"/>
      <w:lvlRestart w:val="0"/>
      <w:suff w:val="space"/>
      <w:lvlText w:val="表%9"/>
      <w:lvlJc w:val="center"/>
      <w:pPr>
        <w:ind w:left="2694" w:firstLine="0"/>
      </w:pPr>
      <w:rPr>
        <w:rFonts w:hint="default" w:ascii="Arial" w:hAnsi="Arial" w:eastAsia="SimHei"/>
        <w:b w:val="0"/>
        <w:i w:val="0"/>
        <w:sz w:val="18"/>
        <w:szCs w:val="18"/>
      </w:rPr>
    </w:lvl>
  </w:abstractNum>
  <w:abstractNum w:abstractNumId="5">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6">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7">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4"/>
  </w:num>
  <w:num w:numId="2">
    <w:abstractNumId w:val="3"/>
  </w:num>
  <w:num w:numId="3">
    <w:abstractNumId w:val="2"/>
  </w:num>
  <w:num w:numId="4">
    <w:abstractNumId w:val="7"/>
  </w:num>
  <w:num w:numId="5">
    <w:abstractNumId w:val="1"/>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2385"/>
    <w:rsid w:val="0009275D"/>
    <w:rsid w:val="00114B23"/>
    <w:rsid w:val="0013519B"/>
    <w:rsid w:val="00172A27"/>
    <w:rsid w:val="00176936"/>
    <w:rsid w:val="001D2DED"/>
    <w:rsid w:val="001E7499"/>
    <w:rsid w:val="00211FB5"/>
    <w:rsid w:val="00276A5B"/>
    <w:rsid w:val="00301276"/>
    <w:rsid w:val="003C692C"/>
    <w:rsid w:val="003C6FFD"/>
    <w:rsid w:val="005B065E"/>
    <w:rsid w:val="006138B8"/>
    <w:rsid w:val="00695C50"/>
    <w:rsid w:val="007E793A"/>
    <w:rsid w:val="00814311"/>
    <w:rsid w:val="00927C1D"/>
    <w:rsid w:val="0096044C"/>
    <w:rsid w:val="00A801D5"/>
    <w:rsid w:val="00A945DE"/>
    <w:rsid w:val="00B53265"/>
    <w:rsid w:val="00BA2D87"/>
    <w:rsid w:val="00D31005"/>
    <w:rsid w:val="00DF5799"/>
    <w:rsid w:val="00E41C35"/>
    <w:rsid w:val="00FD2DE4"/>
    <w:rsid w:val="01764F01"/>
    <w:rsid w:val="024D6B6A"/>
    <w:rsid w:val="029B04E7"/>
    <w:rsid w:val="03073BDC"/>
    <w:rsid w:val="033F44DC"/>
    <w:rsid w:val="0555228E"/>
    <w:rsid w:val="059D1E39"/>
    <w:rsid w:val="05E078B3"/>
    <w:rsid w:val="077D0583"/>
    <w:rsid w:val="079724D0"/>
    <w:rsid w:val="082A352F"/>
    <w:rsid w:val="08C349D1"/>
    <w:rsid w:val="09F67CD5"/>
    <w:rsid w:val="0B9E71DF"/>
    <w:rsid w:val="0BE55F8A"/>
    <w:rsid w:val="0C9D30C2"/>
    <w:rsid w:val="0D706E75"/>
    <w:rsid w:val="0D9D65F4"/>
    <w:rsid w:val="0E172BD0"/>
    <w:rsid w:val="0F146344"/>
    <w:rsid w:val="109F432B"/>
    <w:rsid w:val="10A50104"/>
    <w:rsid w:val="115B3410"/>
    <w:rsid w:val="119D7849"/>
    <w:rsid w:val="1242135C"/>
    <w:rsid w:val="13A1683F"/>
    <w:rsid w:val="13A364AD"/>
    <w:rsid w:val="14DA3DA1"/>
    <w:rsid w:val="17155857"/>
    <w:rsid w:val="17950508"/>
    <w:rsid w:val="19010C43"/>
    <w:rsid w:val="19084C73"/>
    <w:rsid w:val="1A054259"/>
    <w:rsid w:val="1B7F6005"/>
    <w:rsid w:val="1C132CB9"/>
    <w:rsid w:val="1CCC26CA"/>
    <w:rsid w:val="1E9D6342"/>
    <w:rsid w:val="1F475557"/>
    <w:rsid w:val="204E6676"/>
    <w:rsid w:val="20F12DF1"/>
    <w:rsid w:val="21160C5C"/>
    <w:rsid w:val="2195668B"/>
    <w:rsid w:val="21BE5AD4"/>
    <w:rsid w:val="23081A49"/>
    <w:rsid w:val="236165DA"/>
    <w:rsid w:val="245C52F8"/>
    <w:rsid w:val="2463385E"/>
    <w:rsid w:val="250D568B"/>
    <w:rsid w:val="25134332"/>
    <w:rsid w:val="257E508F"/>
    <w:rsid w:val="26BF5712"/>
    <w:rsid w:val="27AB7429"/>
    <w:rsid w:val="285C053E"/>
    <w:rsid w:val="29FA7F26"/>
    <w:rsid w:val="2B774832"/>
    <w:rsid w:val="2BF433BB"/>
    <w:rsid w:val="2EB46192"/>
    <w:rsid w:val="2F1251F2"/>
    <w:rsid w:val="30962F3E"/>
    <w:rsid w:val="30D17E68"/>
    <w:rsid w:val="30FF2795"/>
    <w:rsid w:val="31CE1B13"/>
    <w:rsid w:val="329A6ACE"/>
    <w:rsid w:val="343C4AD2"/>
    <w:rsid w:val="348766B8"/>
    <w:rsid w:val="360B1D73"/>
    <w:rsid w:val="361F3323"/>
    <w:rsid w:val="36E93760"/>
    <w:rsid w:val="3784394E"/>
    <w:rsid w:val="38AE3BB0"/>
    <w:rsid w:val="3ACB5746"/>
    <w:rsid w:val="3BB20883"/>
    <w:rsid w:val="3DA8275C"/>
    <w:rsid w:val="3E441C7D"/>
    <w:rsid w:val="3FC956FF"/>
    <w:rsid w:val="40A36A71"/>
    <w:rsid w:val="410E4736"/>
    <w:rsid w:val="41D3631F"/>
    <w:rsid w:val="41F466FD"/>
    <w:rsid w:val="42A67A24"/>
    <w:rsid w:val="42D846B9"/>
    <w:rsid w:val="440D5045"/>
    <w:rsid w:val="45BE6191"/>
    <w:rsid w:val="460C5979"/>
    <w:rsid w:val="47C01792"/>
    <w:rsid w:val="47C24F68"/>
    <w:rsid w:val="4808150F"/>
    <w:rsid w:val="48E32C6A"/>
    <w:rsid w:val="49E9233D"/>
    <w:rsid w:val="4A5854BC"/>
    <w:rsid w:val="4AAD1944"/>
    <w:rsid w:val="4AC31003"/>
    <w:rsid w:val="4AE93159"/>
    <w:rsid w:val="4BD0339A"/>
    <w:rsid w:val="4D462159"/>
    <w:rsid w:val="4D5C5FAC"/>
    <w:rsid w:val="4DC605B6"/>
    <w:rsid w:val="4DEC0985"/>
    <w:rsid w:val="4E27683A"/>
    <w:rsid w:val="4F2765B1"/>
    <w:rsid w:val="4F285975"/>
    <w:rsid w:val="4F5B021E"/>
    <w:rsid w:val="512835AD"/>
    <w:rsid w:val="515E2146"/>
    <w:rsid w:val="51796EDE"/>
    <w:rsid w:val="51867298"/>
    <w:rsid w:val="52195EDF"/>
    <w:rsid w:val="52313387"/>
    <w:rsid w:val="52E04D27"/>
    <w:rsid w:val="539A390F"/>
    <w:rsid w:val="53DB3477"/>
    <w:rsid w:val="54AF6B42"/>
    <w:rsid w:val="54C04B4D"/>
    <w:rsid w:val="55DD6F2A"/>
    <w:rsid w:val="56E23970"/>
    <w:rsid w:val="577A3C7D"/>
    <w:rsid w:val="578F220A"/>
    <w:rsid w:val="57FC07D9"/>
    <w:rsid w:val="58500F22"/>
    <w:rsid w:val="591C0009"/>
    <w:rsid w:val="5963205D"/>
    <w:rsid w:val="5ACF0F3A"/>
    <w:rsid w:val="5C6B1600"/>
    <w:rsid w:val="5C921AD0"/>
    <w:rsid w:val="5DFD51DB"/>
    <w:rsid w:val="5E0D36E5"/>
    <w:rsid w:val="5F8F286E"/>
    <w:rsid w:val="607C3753"/>
    <w:rsid w:val="60C30855"/>
    <w:rsid w:val="61421EFD"/>
    <w:rsid w:val="615C5041"/>
    <w:rsid w:val="61D20206"/>
    <w:rsid w:val="642E7BAE"/>
    <w:rsid w:val="6611275F"/>
    <w:rsid w:val="664805B8"/>
    <w:rsid w:val="68DA62EE"/>
    <w:rsid w:val="690F418B"/>
    <w:rsid w:val="6A7A2736"/>
    <w:rsid w:val="6A7B4B9C"/>
    <w:rsid w:val="6B92516A"/>
    <w:rsid w:val="6C89456C"/>
    <w:rsid w:val="6F901B66"/>
    <w:rsid w:val="6FA629D4"/>
    <w:rsid w:val="6FD10552"/>
    <w:rsid w:val="6FE56C71"/>
    <w:rsid w:val="70BB2EF0"/>
    <w:rsid w:val="7335047A"/>
    <w:rsid w:val="73455C21"/>
    <w:rsid w:val="73D425F7"/>
    <w:rsid w:val="750A2023"/>
    <w:rsid w:val="7676736A"/>
    <w:rsid w:val="76933951"/>
    <w:rsid w:val="76C15064"/>
    <w:rsid w:val="771D661B"/>
    <w:rsid w:val="771F7714"/>
    <w:rsid w:val="78782A0D"/>
    <w:rsid w:val="78BD194A"/>
    <w:rsid w:val="79A2171F"/>
    <w:rsid w:val="79A252FF"/>
    <w:rsid w:val="79D33056"/>
    <w:rsid w:val="7C26369C"/>
    <w:rsid w:val="7C9E5A24"/>
    <w:rsid w:val="7CAC00CB"/>
    <w:rsid w:val="7CDF67AC"/>
    <w:rsid w:val="7D575412"/>
    <w:rsid w:val="7D62117D"/>
    <w:rsid w:val="7DB54254"/>
    <w:rsid w:val="7E3E1EF2"/>
    <w:rsid w:val="7E951513"/>
    <w:rsid w:val="7EF74FC9"/>
    <w:rsid w:val="7F1A191F"/>
    <w:rsid w:val="7FCB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name="header"/>
    <w:lsdException w:qFormat="1" w:uiPriority="99"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iPriority="99"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SimSun"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0"/>
    <w:semiHidden/>
    <w:unhideWhenUsed/>
    <w:uiPriority w:val="99"/>
    <w:pPr>
      <w:jc w:val="left"/>
    </w:pPr>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uiPriority w:val="99"/>
    <w:pPr>
      <w:spacing w:before="0" w:after="0"/>
    </w:pPr>
    <w:rPr>
      <w:sz w:val="18"/>
      <w:szCs w:val="18"/>
    </w:rPr>
  </w:style>
  <w:style w:type="paragraph" w:styleId="9">
    <w:name w:val="footer"/>
    <w:basedOn w:val="1"/>
    <w:semiHidden/>
    <w:unhideWhenUsed/>
    <w:qFormat/>
    <w:uiPriority w:val="99"/>
    <w:pPr>
      <w:tabs>
        <w:tab w:val="center" w:pos="4153"/>
        <w:tab w:val="right" w:pos="8306"/>
      </w:tabs>
      <w:snapToGrid w:val="0"/>
      <w:jc w:val="left"/>
    </w:pPr>
    <w:rPr>
      <w:sz w:val="18"/>
      <w:szCs w:val="18"/>
    </w:rPr>
  </w:style>
  <w:style w:type="paragraph" w:styleId="10">
    <w:name w:val="toc 1"/>
    <w:basedOn w:val="1"/>
    <w:next w:val="1"/>
    <w:unhideWhenUsed/>
    <w:qFormat/>
    <w:uiPriority w:val="99"/>
    <w:pPr>
      <w:tabs>
        <w:tab w:val="decimal" w:pos="0"/>
        <w:tab w:val="right" w:pos="9660"/>
      </w:tabs>
      <w:ind w:right="420" w:rightChars="200"/>
      <w:jc w:val="left"/>
    </w:pPr>
    <w:rPr>
      <w:rFonts w:eastAsiaTheme="minorEastAsia"/>
      <w:b/>
      <w:bCs/>
      <w:i/>
      <w:iCs/>
      <w:sz w:val="20"/>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3">
    <w:name w:val="annotation subject"/>
    <w:basedOn w:val="5"/>
    <w:next w:val="5"/>
    <w:link w:val="41"/>
    <w:semiHidden/>
    <w:unhideWhenUsed/>
    <w:uiPriority w:val="99"/>
    <w:rPr>
      <w:b/>
      <w:bCs/>
    </w:rPr>
  </w:style>
  <w:style w:type="character" w:styleId="16">
    <w:name w:val="Strong"/>
    <w:basedOn w:val="15"/>
    <w:semiHidden/>
    <w:unhideWhenUsed/>
    <w:qFormat/>
    <w:uiPriority w:val="99"/>
    <w:rPr>
      <w:b/>
    </w:rPr>
  </w:style>
  <w:style w:type="character" w:styleId="17">
    <w:name w:val="FollowedHyperlink"/>
    <w:basedOn w:val="15"/>
    <w:semiHidden/>
    <w:unhideWhenUsed/>
    <w:uiPriority w:val="99"/>
    <w:rPr>
      <w:color w:val="409EFF"/>
      <w:u w:val="none"/>
    </w:rPr>
  </w:style>
  <w:style w:type="character" w:styleId="18">
    <w:name w:val="HTML Definition"/>
    <w:basedOn w:val="15"/>
    <w:semiHidden/>
    <w:unhideWhenUsed/>
    <w:uiPriority w:val="99"/>
    <w:rPr>
      <w:i/>
    </w:rPr>
  </w:style>
  <w:style w:type="character" w:styleId="19">
    <w:name w:val="Hyperlink"/>
    <w:basedOn w:val="15"/>
    <w:semiHidden/>
    <w:unhideWhenUsed/>
    <w:uiPriority w:val="99"/>
    <w:rPr>
      <w:color w:val="409EFF"/>
      <w:u w:val="none"/>
    </w:rPr>
  </w:style>
  <w:style w:type="character" w:styleId="20">
    <w:name w:val="HTML Code"/>
    <w:basedOn w:val="15"/>
    <w:semiHidden/>
    <w:unhideWhenUsed/>
    <w:uiPriority w:val="99"/>
    <w:rPr>
      <w:rFonts w:ascii="Consolas" w:hAnsi="Consolas" w:eastAsia="Consolas" w:cs="Consolas"/>
      <w:color w:val="C7254E"/>
      <w:sz w:val="21"/>
      <w:szCs w:val="21"/>
      <w:shd w:val="clear" w:color="auto" w:fill="F9F2F4"/>
    </w:rPr>
  </w:style>
  <w:style w:type="character" w:styleId="21">
    <w:name w:val="annotation reference"/>
    <w:semiHidden/>
    <w:qFormat/>
    <w:uiPriority w:val="99"/>
    <w:rPr>
      <w:sz w:val="16"/>
      <w:szCs w:val="16"/>
    </w:rPr>
  </w:style>
  <w:style w:type="character" w:styleId="22">
    <w:name w:val="HTML Keyboard"/>
    <w:basedOn w:val="15"/>
    <w:semiHidden/>
    <w:unhideWhenUsed/>
    <w:uiPriority w:val="99"/>
    <w:rPr>
      <w:rFonts w:hint="default" w:ascii="Consolas" w:hAnsi="Consolas" w:eastAsia="Consolas" w:cs="Consolas"/>
      <w:color w:val="FFFFFF"/>
      <w:sz w:val="21"/>
      <w:szCs w:val="21"/>
      <w:shd w:val="clear" w:color="auto" w:fill="333333"/>
    </w:rPr>
  </w:style>
  <w:style w:type="character" w:styleId="23">
    <w:name w:val="HTML Sample"/>
    <w:basedOn w:val="15"/>
    <w:semiHidden/>
    <w:unhideWhenUsed/>
    <w:uiPriority w:val="99"/>
    <w:rPr>
      <w:rFonts w:hint="default" w:ascii="Consolas" w:hAnsi="Consolas" w:eastAsia="Consolas" w:cs="Consolas"/>
      <w:sz w:val="21"/>
      <w:szCs w:val="21"/>
    </w:rPr>
  </w:style>
  <w:style w:type="paragraph" w:customStyle="1" w:styleId="24">
    <w:name w:val="YJ-Observation"/>
    <w:basedOn w:val="25"/>
    <w:qFormat/>
    <w:uiPriority w:val="0"/>
    <w:pPr>
      <w:numPr>
        <w:ilvl w:val="0"/>
        <w:numId w:val="2"/>
      </w:numPr>
      <w:tabs>
        <w:tab w:val="left" w:pos="0"/>
        <w:tab w:val="left" w:pos="420"/>
      </w:tabs>
    </w:pPr>
  </w:style>
  <w:style w:type="paragraph" w:customStyle="1" w:styleId="25">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6">
    <w:name w:val="sub-proposal"/>
    <w:basedOn w:val="25"/>
    <w:next w:val="1"/>
    <w:qFormat/>
    <w:uiPriority w:val="0"/>
    <w:pPr>
      <w:numPr>
        <w:numId w:val="4"/>
      </w:numPr>
      <w:tabs>
        <w:tab w:val="left" w:pos="420"/>
        <w:tab w:val="left" w:pos="807"/>
      </w:tabs>
      <w:ind w:left="862" w:leftChars="200" w:hanging="442" w:hangingChars="200"/>
    </w:pPr>
  </w:style>
  <w:style w:type="paragraph" w:customStyle="1" w:styleId="27">
    <w:name w:val="sub-observation"/>
    <w:basedOn w:val="26"/>
    <w:next w:val="1"/>
    <w:qFormat/>
    <w:uiPriority w:val="0"/>
  </w:style>
  <w:style w:type="paragraph" w:customStyle="1" w:styleId="28">
    <w:name w:val="3rd level proposal"/>
    <w:basedOn w:val="26"/>
    <w:next w:val="1"/>
    <w:qFormat/>
    <w:uiPriority w:val="0"/>
    <w:pPr>
      <w:numPr>
        <w:ilvl w:val="0"/>
        <w:numId w:val="5"/>
      </w:numPr>
      <w:ind w:left="1282" w:leftChars="400" w:hanging="442"/>
    </w:pPr>
  </w:style>
  <w:style w:type="paragraph" w:customStyle="1" w:styleId="29">
    <w:name w:val="3rd level observation"/>
    <w:basedOn w:val="27"/>
    <w:qFormat/>
    <w:uiPriority w:val="0"/>
    <w:pPr>
      <w:numPr>
        <w:ilvl w:val="0"/>
        <w:numId w:val="6"/>
      </w:numPr>
      <w:ind w:left="1282" w:leftChars="400" w:hanging="442"/>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qFormat/>
    <w:uiPriority w:val="34"/>
    <w:pPr>
      <w:spacing w:beforeLines="0" w:after="0"/>
      <w:ind w:left="720"/>
      <w:contextualSpacing/>
    </w:pPr>
    <w:rPr>
      <w:rFonts w:eastAsia="Times New Roman"/>
      <w:sz w:val="24"/>
      <w:szCs w:val="24"/>
    </w:rPr>
  </w:style>
  <w:style w:type="paragraph" w:customStyle="1" w:styleId="32">
    <w:name w:val="样式1"/>
    <w:basedOn w:val="1"/>
    <w:qFormat/>
    <w:uiPriority w:val="0"/>
  </w:style>
  <w:style w:type="paragraph" w:customStyle="1" w:styleId="33">
    <w:name w:val="样式2"/>
    <w:basedOn w:val="1"/>
    <w:qFormat/>
    <w:uiPriority w:val="0"/>
  </w:style>
  <w:style w:type="paragraph" w:customStyle="1" w:styleId="34">
    <w:name w:val="Tdoc_Header_2"/>
    <w:basedOn w:val="1"/>
    <w:uiPriority w:val="0"/>
    <w:pPr>
      <w:widowControl w:val="0"/>
      <w:tabs>
        <w:tab w:val="left" w:pos="1701"/>
        <w:tab w:val="right" w:pos="9072"/>
        <w:tab w:val="right" w:pos="10206"/>
      </w:tabs>
      <w:spacing w:after="0"/>
    </w:pPr>
    <w:rPr>
      <w:rFonts w:eastAsia="Batang"/>
      <w:b/>
      <w:sz w:val="18"/>
      <w:lang w:eastAsia="en-US"/>
    </w:rPr>
  </w:style>
  <w:style w:type="character" w:customStyle="1" w:styleId="35">
    <w:name w:val="badge58"/>
    <w:basedOn w:val="15"/>
    <w:uiPriority w:val="0"/>
    <w:rPr>
      <w:b/>
      <w:color w:val="FFFFFF"/>
      <w:sz w:val="24"/>
      <w:szCs w:val="24"/>
      <w:shd w:val="clear" w:color="auto" w:fill="001F3F"/>
    </w:rPr>
  </w:style>
  <w:style w:type="character" w:customStyle="1" w:styleId="36">
    <w:name w:val="old"/>
    <w:basedOn w:val="15"/>
    <w:uiPriority w:val="0"/>
    <w:rPr>
      <w:color w:val="999999"/>
    </w:rPr>
  </w:style>
  <w:style w:type="character" w:customStyle="1" w:styleId="37">
    <w:name w:val="hover16"/>
    <w:basedOn w:val="15"/>
    <w:uiPriority w:val="0"/>
    <w:rPr>
      <w:shd w:val="clear" w:color="auto" w:fill="EEEEEE"/>
    </w:rPr>
  </w:style>
  <w:style w:type="character" w:customStyle="1" w:styleId="38">
    <w:name w:val="active1"/>
    <w:basedOn w:val="15"/>
    <w:qFormat/>
    <w:uiPriority w:val="0"/>
    <w:rPr>
      <w:color w:val="FFFFFF"/>
      <w:shd w:val="clear" w:color="auto" w:fill="006DCC"/>
    </w:rPr>
  </w:style>
  <w:style w:type="character" w:customStyle="1" w:styleId="39">
    <w:name w:val="批注框文本 Char"/>
    <w:basedOn w:val="15"/>
    <w:link w:val="8"/>
    <w:semiHidden/>
    <w:uiPriority w:val="99"/>
    <w:rPr>
      <w:kern w:val="2"/>
      <w:sz w:val="18"/>
      <w:szCs w:val="18"/>
    </w:rPr>
  </w:style>
  <w:style w:type="character" w:customStyle="1" w:styleId="40">
    <w:name w:val="批注文字 Char"/>
    <w:basedOn w:val="15"/>
    <w:link w:val="5"/>
    <w:semiHidden/>
    <w:uiPriority w:val="99"/>
    <w:rPr>
      <w:kern w:val="2"/>
      <w:sz w:val="21"/>
    </w:rPr>
  </w:style>
  <w:style w:type="character" w:customStyle="1" w:styleId="41">
    <w:name w:val="批注主题 Char"/>
    <w:basedOn w:val="40"/>
    <w:link w:val="13"/>
    <w:semiHidden/>
    <w:uiPriority w:val="99"/>
    <w:rPr>
      <w:b/>
      <w:bCs/>
      <w:kern w:val="2"/>
      <w:sz w:val="21"/>
    </w:rPr>
  </w:style>
  <w:style w:type="character" w:customStyle="1" w:styleId="42">
    <w:name w:val="active3"/>
    <w:basedOn w:val="15"/>
    <w:uiPriority w:val="0"/>
    <w:rPr>
      <w:color w:val="FFFFFF"/>
      <w:shd w:val="clear" w:color="auto" w:fill="006DCC"/>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1329</Words>
  <Characters>7577</Characters>
  <Lines>63</Lines>
  <Paragraphs>17</Paragraphs>
  <TotalTime>3</TotalTime>
  <ScaleCrop>false</ScaleCrop>
  <LinksUpToDate>false</LinksUpToDate>
  <CharactersWithSpaces>8889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2021-01-17T07:30:00Z</dcterms:created>
  <dc:creator>ZTE</dc:creator>
  <cp:lastModifiedBy>ZTE</cp:lastModifiedBy>
  <dcterms:modified xsi:type="dcterms:W3CDTF">2021-01-19T04:05:58Z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